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5AEA" w:rsidRPr="00E27127" w:rsidRDefault="00E75AEA" w:rsidP="00161FBB">
      <w:pPr>
        <w:widowControl w:val="0"/>
        <w:autoSpaceDE w:val="0"/>
        <w:autoSpaceDN w:val="0"/>
        <w:adjustRightInd w:val="0"/>
        <w:jc w:val="center"/>
        <w:outlineLvl w:val="0"/>
        <w:rPr>
          <w:sz w:val="28"/>
          <w:szCs w:val="28"/>
          <w:lang w:val="ro-RO"/>
        </w:rPr>
      </w:pPr>
      <w:r w:rsidRPr="00E27127">
        <w:rPr>
          <w:sz w:val="28"/>
          <w:szCs w:val="28"/>
          <w:lang w:val="ro-RO"/>
        </w:rPr>
        <w:t>COMUNICAT DE PRESĂ</w:t>
      </w:r>
    </w:p>
    <w:p w:rsidR="00E75AEA" w:rsidRPr="00E27127" w:rsidRDefault="00E75AEA" w:rsidP="00161FBB">
      <w:pPr>
        <w:widowControl w:val="0"/>
        <w:shd w:val="clear" w:color="auto" w:fill="FFFFFF"/>
        <w:autoSpaceDE w:val="0"/>
        <w:autoSpaceDN w:val="0"/>
        <w:adjustRightInd w:val="0"/>
        <w:spacing w:before="72" w:after="72" w:line="360" w:lineRule="atLeast"/>
        <w:ind w:left="53" w:right="53"/>
        <w:jc w:val="both"/>
        <w:rPr>
          <w:rFonts w:ascii="Times New Roman Bold" w:hAnsi="Times New Roman Bold" w:cs="Times New Roman Bold"/>
          <w:b/>
          <w:bCs/>
          <w:sz w:val="28"/>
          <w:szCs w:val="28"/>
          <w:lang w:val="ro-RO"/>
        </w:rPr>
      </w:pPr>
    </w:p>
    <w:p w:rsidR="00E75AEA" w:rsidRPr="00E27127" w:rsidRDefault="00E75AEA" w:rsidP="00E27127">
      <w:pPr>
        <w:widowControl w:val="0"/>
        <w:shd w:val="clear" w:color="auto" w:fill="FFFFFF"/>
        <w:autoSpaceDE w:val="0"/>
        <w:autoSpaceDN w:val="0"/>
        <w:adjustRightInd w:val="0"/>
        <w:spacing w:before="72" w:after="120" w:line="360" w:lineRule="atLeast"/>
        <w:ind w:left="53" w:right="58"/>
        <w:jc w:val="both"/>
        <w:rPr>
          <w:rFonts w:ascii="Times New Roman Bold" w:hAnsi="Times New Roman Bold" w:cs="Times New Roman Bold"/>
          <w:b/>
          <w:bCs/>
          <w:sz w:val="28"/>
          <w:szCs w:val="28"/>
          <w:lang w:val="ro-RO"/>
        </w:rPr>
      </w:pPr>
      <w:r w:rsidRPr="00E27127">
        <w:rPr>
          <w:rFonts w:ascii="Times New Roman Bold" w:hAnsi="Times New Roman Bold" w:cs="Times New Roman Bold"/>
          <w:b/>
          <w:bCs/>
          <w:sz w:val="28"/>
          <w:szCs w:val="28"/>
          <w:lang w:val="ro-RO"/>
        </w:rPr>
        <w:t>În şedinţa din 2 februarie 2012, Consiliul de administraţie al Băncii Naţionale a României a hotărât următoarele:</w:t>
      </w:r>
    </w:p>
    <w:p w:rsidR="00E75AEA" w:rsidRPr="00E27127" w:rsidRDefault="00E75AEA" w:rsidP="00E27127">
      <w:pPr>
        <w:widowControl w:val="0"/>
        <w:numPr>
          <w:ilvl w:val="0"/>
          <w:numId w:val="1"/>
        </w:numPr>
        <w:shd w:val="clear" w:color="auto" w:fill="FFFFFF"/>
        <w:tabs>
          <w:tab w:val="left" w:pos="773"/>
          <w:tab w:val="left" w:pos="1133"/>
        </w:tabs>
        <w:autoSpaceDE w:val="0"/>
        <w:autoSpaceDN w:val="0"/>
        <w:adjustRightInd w:val="0"/>
        <w:spacing w:before="72" w:after="120" w:line="360" w:lineRule="atLeast"/>
        <w:ind w:right="58"/>
        <w:jc w:val="both"/>
        <w:rPr>
          <w:rFonts w:ascii="Times New Roman Bold" w:hAnsi="Times New Roman Bold" w:cs="Times New Roman Bold"/>
          <w:b/>
          <w:bCs/>
          <w:sz w:val="28"/>
          <w:szCs w:val="28"/>
          <w:lang w:val="ro-RO"/>
        </w:rPr>
      </w:pPr>
      <w:r w:rsidRPr="00E27127">
        <w:rPr>
          <w:rFonts w:ascii="Times New Roman Bold" w:hAnsi="Times New Roman Bold" w:cs="Times New Roman Bold"/>
          <w:b/>
          <w:bCs/>
          <w:sz w:val="28"/>
          <w:szCs w:val="28"/>
          <w:lang w:val="ro-RO"/>
        </w:rPr>
        <w:t>Reducerea ratei dobânzii de politică monetară la nivelul de 5,</w:t>
      </w:r>
      <w:r>
        <w:rPr>
          <w:rFonts w:ascii="Times New Roman Bold" w:hAnsi="Times New Roman Bold" w:cs="Times New Roman Bold"/>
          <w:b/>
          <w:bCs/>
          <w:sz w:val="28"/>
          <w:szCs w:val="28"/>
          <w:lang w:val="ro-RO"/>
        </w:rPr>
        <w:t>50</w:t>
      </w:r>
      <w:r w:rsidRPr="00E27127">
        <w:rPr>
          <w:rFonts w:ascii="Times New Roman Bold" w:hAnsi="Times New Roman Bold" w:cs="Times New Roman Bold"/>
          <w:b/>
          <w:bCs/>
          <w:sz w:val="28"/>
          <w:szCs w:val="28"/>
          <w:lang w:val="ro-RO"/>
        </w:rPr>
        <w:t xml:space="preserve"> la sută pe an de la 5,75 la sută începând cu data de 3 februarie 2012</w:t>
      </w:r>
      <w:r w:rsidRPr="00E27127">
        <w:rPr>
          <w:b/>
          <w:bCs/>
          <w:sz w:val="28"/>
          <w:szCs w:val="28"/>
          <w:lang w:val="ro-RO"/>
        </w:rPr>
        <w:t xml:space="preserve">; </w:t>
      </w:r>
      <w:r w:rsidRPr="00E27127">
        <w:rPr>
          <w:rFonts w:ascii="Arial" w:hAnsi="Arial" w:cs="Arial"/>
          <w:sz w:val="28"/>
          <w:szCs w:val="28"/>
          <w:lang w:val="ro-RO"/>
        </w:rPr>
        <w:t xml:space="preserve"> </w:t>
      </w:r>
    </w:p>
    <w:p w:rsidR="00E75AEA" w:rsidRPr="00E27127" w:rsidRDefault="00E75AEA" w:rsidP="00E27127">
      <w:pPr>
        <w:widowControl w:val="0"/>
        <w:numPr>
          <w:ilvl w:val="0"/>
          <w:numId w:val="1"/>
        </w:numPr>
        <w:shd w:val="clear" w:color="auto" w:fill="FFFFFF"/>
        <w:tabs>
          <w:tab w:val="left" w:pos="773"/>
          <w:tab w:val="left" w:pos="1133"/>
        </w:tabs>
        <w:autoSpaceDE w:val="0"/>
        <w:autoSpaceDN w:val="0"/>
        <w:adjustRightInd w:val="0"/>
        <w:spacing w:before="72" w:after="120" w:line="360" w:lineRule="atLeast"/>
        <w:ind w:right="58"/>
        <w:jc w:val="both"/>
        <w:rPr>
          <w:rFonts w:ascii="Times New Roman Bold" w:hAnsi="Times New Roman Bold" w:cs="Times New Roman Bold"/>
          <w:b/>
          <w:bCs/>
          <w:sz w:val="28"/>
          <w:szCs w:val="28"/>
          <w:lang w:val="ro-RO"/>
        </w:rPr>
      </w:pPr>
      <w:r w:rsidRPr="00E27127">
        <w:rPr>
          <w:rFonts w:ascii="Times New Roman Bold" w:hAnsi="Times New Roman Bold" w:cs="Times New Roman Bold"/>
          <w:b/>
          <w:bCs/>
          <w:sz w:val="28"/>
          <w:szCs w:val="28"/>
          <w:lang w:val="ro-RO"/>
        </w:rPr>
        <w:t>Gestionarea adecvată a lichidităţii din sistemul bancar;</w:t>
      </w:r>
    </w:p>
    <w:p w:rsidR="00E75AEA" w:rsidRPr="00E27127" w:rsidRDefault="00E75AEA" w:rsidP="00E27127">
      <w:pPr>
        <w:widowControl w:val="0"/>
        <w:numPr>
          <w:ilvl w:val="0"/>
          <w:numId w:val="1"/>
        </w:numPr>
        <w:shd w:val="clear" w:color="auto" w:fill="FFFFFF"/>
        <w:tabs>
          <w:tab w:val="left" w:pos="773"/>
          <w:tab w:val="left" w:pos="1133"/>
        </w:tabs>
        <w:autoSpaceDE w:val="0"/>
        <w:autoSpaceDN w:val="0"/>
        <w:adjustRightInd w:val="0"/>
        <w:spacing w:before="72" w:after="240" w:line="360" w:lineRule="atLeast"/>
        <w:ind w:right="53"/>
        <w:jc w:val="both"/>
        <w:rPr>
          <w:rFonts w:ascii="Times New Roman Bold" w:hAnsi="Times New Roman Bold" w:cs="Times New Roman Bold"/>
          <w:b/>
          <w:bCs/>
          <w:sz w:val="28"/>
          <w:szCs w:val="28"/>
          <w:lang w:val="ro-RO"/>
        </w:rPr>
      </w:pPr>
      <w:r w:rsidRPr="00E27127">
        <w:rPr>
          <w:b/>
          <w:bCs/>
          <w:sz w:val="28"/>
          <w:szCs w:val="28"/>
          <w:lang w:val="ro-RO"/>
        </w:rPr>
        <w:t xml:space="preserve">Menţinerea </w:t>
      </w:r>
      <w:r w:rsidRPr="00E27127">
        <w:rPr>
          <w:rFonts w:ascii="Times New Roman Bold" w:hAnsi="Times New Roman Bold" w:cs="Times New Roman Bold"/>
          <w:b/>
          <w:bCs/>
          <w:sz w:val="28"/>
          <w:szCs w:val="28"/>
          <w:lang w:val="ro-RO"/>
        </w:rPr>
        <w:t>nivelurilor actuale ale ratelor rezervelor minime obligatorii aplicabile pasivelor în lei şi în valută ale instituţiilor de credit.</w:t>
      </w:r>
    </w:p>
    <w:p w:rsidR="00E75AEA" w:rsidRPr="00E27127" w:rsidRDefault="00E75AEA" w:rsidP="00E27127">
      <w:pPr>
        <w:pBdr>
          <w:bottom w:val="single" w:sz="6" w:space="1" w:color="auto"/>
        </w:pBdr>
        <w:spacing w:before="100" w:beforeAutospacing="1" w:after="100" w:afterAutospacing="1"/>
        <w:jc w:val="both"/>
        <w:rPr>
          <w:b/>
          <w:sz w:val="28"/>
          <w:szCs w:val="28"/>
          <w:lang w:val="ro-RO"/>
        </w:rPr>
      </w:pPr>
      <w:r w:rsidRPr="00E27127">
        <w:rPr>
          <w:b/>
          <w:sz w:val="28"/>
          <w:szCs w:val="28"/>
          <w:lang w:val="ro-RO"/>
        </w:rPr>
        <w:t>CA al BNR a analizat şi aprobat Raportul trimestrial asupra inflaţiei, document care va fi prezentat publicului într-o conferinţă de presă organizată în data de 7 februarie 2012, în cadrul căreia va fi anunţat şi calendarul pe următoarele 12 luni al şedinţelor dedicate politicii monetare.</w:t>
      </w:r>
    </w:p>
    <w:p w:rsidR="00E75AEA" w:rsidRPr="00E27127" w:rsidRDefault="00E75AEA" w:rsidP="00724912">
      <w:pPr>
        <w:autoSpaceDE w:val="0"/>
        <w:autoSpaceDN w:val="0"/>
        <w:adjustRightInd w:val="0"/>
        <w:jc w:val="both"/>
        <w:rPr>
          <w:sz w:val="28"/>
          <w:szCs w:val="28"/>
          <w:lang w:val="ro-RO"/>
        </w:rPr>
      </w:pPr>
      <w:r w:rsidRPr="00E27127">
        <w:rPr>
          <w:sz w:val="28"/>
          <w:szCs w:val="28"/>
          <w:lang w:val="ro-RO"/>
        </w:rPr>
        <w:t xml:space="preserve">Rata anuală a inflaţiei a coborât la nivelul de 3,14 la sută în luna decembrie 2011 de la 7,96 la sută în luna decembrie 2010, în linie cu prognozele BNR, iar </w:t>
      </w:r>
      <w:hyperlink r:id="rId5" w:anchor="nota1" w:tooltip="calculată prin eliminarea din indicele preţurilor de consum a preţurilor administrate, a celor volatile şi a preţurilor tutunului şi băuturilor alcoolice" w:history="1">
        <w:r w:rsidRPr="00E27127">
          <w:rPr>
            <w:rStyle w:val="Hyperlink"/>
            <w:sz w:val="28"/>
            <w:szCs w:val="28"/>
            <w:lang w:val="ro-RO"/>
          </w:rPr>
          <w:t>rata anuală a inflaţiei de bază CORE2 ajustat</w:t>
        </w:r>
      </w:hyperlink>
      <w:r w:rsidRPr="00E27127">
        <w:rPr>
          <w:sz w:val="28"/>
          <w:szCs w:val="28"/>
          <w:lang w:val="ro-RO"/>
        </w:rPr>
        <w:t xml:space="preserve"> a scăzut la 2,37 la sută faţă de vârful anului 2011</w:t>
      </w:r>
      <w:r>
        <w:rPr>
          <w:sz w:val="28"/>
          <w:szCs w:val="28"/>
          <w:lang w:val="ro-RO"/>
        </w:rPr>
        <w:t>,</w:t>
      </w:r>
      <w:r w:rsidRPr="00E27127">
        <w:rPr>
          <w:sz w:val="28"/>
          <w:szCs w:val="28"/>
          <w:lang w:val="ro-RO"/>
        </w:rPr>
        <w:t xml:space="preserve"> de 4,77 la sută</w:t>
      </w:r>
      <w:r>
        <w:rPr>
          <w:sz w:val="28"/>
          <w:szCs w:val="28"/>
          <w:lang w:val="ro-RO"/>
        </w:rPr>
        <w:t>,</w:t>
      </w:r>
      <w:r w:rsidRPr="00E27127">
        <w:rPr>
          <w:sz w:val="28"/>
          <w:szCs w:val="28"/>
          <w:lang w:val="ro-RO"/>
        </w:rPr>
        <w:t xml:space="preserve"> consemnat în luna martie.</w:t>
      </w:r>
    </w:p>
    <w:p w:rsidR="00E75AEA" w:rsidRPr="00E27127" w:rsidRDefault="00E75AEA" w:rsidP="00E27127">
      <w:pPr>
        <w:pStyle w:val="NormalWeb"/>
        <w:jc w:val="both"/>
        <w:rPr>
          <w:sz w:val="28"/>
          <w:szCs w:val="28"/>
          <w:lang w:val="ro-RO"/>
        </w:rPr>
      </w:pPr>
      <w:r w:rsidRPr="00FB7C24">
        <w:rPr>
          <w:sz w:val="28"/>
          <w:szCs w:val="28"/>
          <w:lang w:val="ro-RO"/>
        </w:rPr>
        <w:t>Atingerea ţintei de inflaţie confirmă consolidarea procesului de dezinflaţie,</w:t>
      </w:r>
      <w:r w:rsidRPr="00E27127">
        <w:rPr>
          <w:sz w:val="28"/>
          <w:szCs w:val="28"/>
          <w:lang w:val="ro-RO"/>
        </w:rPr>
        <w:t xml:space="preserve"> în condiţiile menţinerii conduitei prudente a politicii monetare, ale epuizării efectului de runda întâi al majorării cotei TVA şi ale evoluţiei favorabile a unor preţuri volatile</w:t>
      </w:r>
      <w:r>
        <w:rPr>
          <w:sz w:val="28"/>
          <w:szCs w:val="28"/>
          <w:lang w:val="ro-RO"/>
        </w:rPr>
        <w:t>, în special a celor alimentare, cu impact asupra preţurilor produselor alimentare prelucrate</w:t>
      </w:r>
      <w:r w:rsidRPr="00E27127">
        <w:rPr>
          <w:sz w:val="28"/>
          <w:szCs w:val="28"/>
          <w:lang w:val="ro-RO"/>
        </w:rPr>
        <w:t>.</w:t>
      </w:r>
    </w:p>
    <w:p w:rsidR="00E75AEA" w:rsidRPr="00E27127" w:rsidRDefault="00E75AEA" w:rsidP="00E27127">
      <w:pPr>
        <w:spacing w:before="100" w:beforeAutospacing="1" w:after="100" w:afterAutospacing="1"/>
        <w:jc w:val="both"/>
        <w:rPr>
          <w:sz w:val="28"/>
          <w:szCs w:val="28"/>
          <w:lang w:val="ro-RO"/>
        </w:rPr>
      </w:pPr>
      <w:r>
        <w:rPr>
          <w:sz w:val="28"/>
          <w:szCs w:val="28"/>
          <w:lang w:val="ro-RO"/>
        </w:rPr>
        <w:t xml:space="preserve">Pe plan intern, </w:t>
      </w:r>
      <w:r w:rsidRPr="00E27127">
        <w:rPr>
          <w:sz w:val="28"/>
          <w:szCs w:val="28"/>
          <w:lang w:val="ro-RO"/>
        </w:rPr>
        <w:t>indicatori</w:t>
      </w:r>
      <w:r>
        <w:rPr>
          <w:sz w:val="28"/>
          <w:szCs w:val="28"/>
          <w:lang w:val="ro-RO"/>
        </w:rPr>
        <w:t>i</w:t>
      </w:r>
      <w:r w:rsidRPr="00E27127">
        <w:rPr>
          <w:sz w:val="28"/>
          <w:szCs w:val="28"/>
          <w:lang w:val="ro-RO"/>
        </w:rPr>
        <w:t xml:space="preserve"> statistici relevă persistenţa deficitului de cerere agregată în pofida unor dinamici pozitive consemnate de exporturi, producţia industrială şi cea agricolă, </w:t>
      </w:r>
      <w:r>
        <w:rPr>
          <w:sz w:val="28"/>
          <w:szCs w:val="28"/>
          <w:lang w:val="ro-RO"/>
        </w:rPr>
        <w:t xml:space="preserve">împreună cu </w:t>
      </w:r>
      <w:r w:rsidRPr="00E27127">
        <w:rPr>
          <w:sz w:val="28"/>
          <w:szCs w:val="28"/>
          <w:lang w:val="ro-RO"/>
        </w:rPr>
        <w:t>menţinerea la niveluri sustenabile a deficitului de cont cur</w:t>
      </w:r>
      <w:r>
        <w:rPr>
          <w:sz w:val="28"/>
          <w:szCs w:val="28"/>
          <w:lang w:val="ro-RO"/>
        </w:rPr>
        <w:t>e</w:t>
      </w:r>
      <w:r w:rsidRPr="00E27127">
        <w:rPr>
          <w:sz w:val="28"/>
          <w:szCs w:val="28"/>
          <w:lang w:val="ro-RO"/>
        </w:rPr>
        <w:t xml:space="preserve">nt, dar şi o redresare </w:t>
      </w:r>
      <w:r>
        <w:rPr>
          <w:sz w:val="28"/>
          <w:szCs w:val="28"/>
          <w:lang w:val="ro-RO"/>
        </w:rPr>
        <w:t>treptată</w:t>
      </w:r>
      <w:r w:rsidRPr="00E27127">
        <w:rPr>
          <w:sz w:val="28"/>
          <w:szCs w:val="28"/>
          <w:lang w:val="ro-RO"/>
        </w:rPr>
        <w:t xml:space="preserve"> a creditului acordat sectorului privat.</w:t>
      </w:r>
      <w:r>
        <w:rPr>
          <w:sz w:val="28"/>
          <w:szCs w:val="28"/>
          <w:lang w:val="ro-RO"/>
        </w:rPr>
        <w:t xml:space="preserve"> </w:t>
      </w:r>
    </w:p>
    <w:p w:rsidR="00E75AEA" w:rsidRPr="00E27127" w:rsidRDefault="00E75AEA" w:rsidP="00E55F01">
      <w:pPr>
        <w:autoSpaceDE w:val="0"/>
        <w:autoSpaceDN w:val="0"/>
        <w:adjustRightInd w:val="0"/>
        <w:jc w:val="both"/>
        <w:rPr>
          <w:sz w:val="28"/>
          <w:szCs w:val="28"/>
          <w:lang w:val="ro-RO"/>
        </w:rPr>
      </w:pPr>
      <w:r>
        <w:rPr>
          <w:sz w:val="28"/>
          <w:szCs w:val="28"/>
          <w:lang w:val="ro-RO"/>
        </w:rPr>
        <w:t>P</w:t>
      </w:r>
      <w:r w:rsidRPr="00E27127">
        <w:rPr>
          <w:sz w:val="28"/>
          <w:szCs w:val="28"/>
          <w:lang w:val="ro-RO"/>
        </w:rPr>
        <w:t xml:space="preserve">e plan extern </w:t>
      </w:r>
      <w:r>
        <w:rPr>
          <w:sz w:val="28"/>
          <w:szCs w:val="28"/>
          <w:lang w:val="ro-RO"/>
        </w:rPr>
        <w:t>se menţin</w:t>
      </w:r>
      <w:r w:rsidRPr="00E27127">
        <w:rPr>
          <w:sz w:val="28"/>
          <w:szCs w:val="28"/>
          <w:lang w:val="ro-RO"/>
        </w:rPr>
        <w:t xml:space="preserve"> incertitudinile privind soluţionarea crizei datoriilor suverane din zona euro, cu implicaţii asupra aversiunii faţă de risc a investitorilor, a volatilităţii fluxurilor de capital şi a </w:t>
      </w:r>
      <w:r>
        <w:rPr>
          <w:sz w:val="28"/>
          <w:szCs w:val="28"/>
          <w:lang w:val="ro-RO"/>
        </w:rPr>
        <w:t>creşterii</w:t>
      </w:r>
      <w:r w:rsidRPr="00E27127">
        <w:rPr>
          <w:sz w:val="28"/>
          <w:szCs w:val="28"/>
          <w:lang w:val="ro-RO"/>
        </w:rPr>
        <w:t xml:space="preserve"> economice la nivel </w:t>
      </w:r>
      <w:r>
        <w:rPr>
          <w:sz w:val="28"/>
          <w:szCs w:val="28"/>
          <w:lang w:val="ro-RO"/>
        </w:rPr>
        <w:t xml:space="preserve">european şi </w:t>
      </w:r>
      <w:r w:rsidRPr="00E27127">
        <w:rPr>
          <w:sz w:val="28"/>
          <w:szCs w:val="28"/>
          <w:lang w:val="ro-RO"/>
        </w:rPr>
        <w:t xml:space="preserve">mondial. </w:t>
      </w:r>
    </w:p>
    <w:p w:rsidR="00E75AEA" w:rsidRPr="00E27127" w:rsidRDefault="00E75AEA" w:rsidP="00E55F01">
      <w:pPr>
        <w:autoSpaceDE w:val="0"/>
        <w:autoSpaceDN w:val="0"/>
        <w:adjustRightInd w:val="0"/>
        <w:jc w:val="both"/>
        <w:rPr>
          <w:sz w:val="28"/>
          <w:szCs w:val="28"/>
          <w:lang w:val="ro-RO"/>
        </w:rPr>
      </w:pPr>
      <w:r w:rsidRPr="00E27127">
        <w:rPr>
          <w:sz w:val="28"/>
          <w:szCs w:val="28"/>
          <w:lang w:val="ro-RO"/>
        </w:rPr>
        <w:t xml:space="preserve"> </w:t>
      </w:r>
    </w:p>
    <w:p w:rsidR="00E75AEA" w:rsidRPr="00E27127" w:rsidRDefault="00E75AEA" w:rsidP="00E55F01">
      <w:pPr>
        <w:autoSpaceDE w:val="0"/>
        <w:autoSpaceDN w:val="0"/>
        <w:adjustRightInd w:val="0"/>
        <w:jc w:val="both"/>
        <w:rPr>
          <w:sz w:val="28"/>
          <w:szCs w:val="28"/>
          <w:lang w:val="ro-RO"/>
        </w:rPr>
      </w:pPr>
      <w:r w:rsidRPr="00E27127">
        <w:rPr>
          <w:sz w:val="28"/>
          <w:szCs w:val="28"/>
          <w:lang w:val="ro-RO"/>
        </w:rPr>
        <w:t>CA al BNR a analizat şi aprobat Raportul trimestrial asupra inflaţiei, document care evaluează contextul macroeconomic recent, analizează perspectivele inflaţiei şi identifică principalele provocări şi constrângeri cu care politica monetară se va confrunta în perioada următoare.</w:t>
      </w:r>
    </w:p>
    <w:p w:rsidR="00E75AEA" w:rsidRPr="00E27127" w:rsidRDefault="00E75AEA" w:rsidP="00E27127">
      <w:pPr>
        <w:spacing w:before="100" w:beforeAutospacing="1" w:after="100" w:afterAutospacing="1"/>
        <w:jc w:val="both"/>
        <w:rPr>
          <w:lang w:val="ro-RO"/>
        </w:rPr>
      </w:pPr>
      <w:r w:rsidRPr="00E27127">
        <w:rPr>
          <w:sz w:val="28"/>
          <w:szCs w:val="28"/>
          <w:lang w:val="ro-RO"/>
        </w:rPr>
        <w:t xml:space="preserve">Prognoza actuală </w:t>
      </w:r>
      <w:r w:rsidRPr="00395D78">
        <w:rPr>
          <w:sz w:val="28"/>
          <w:szCs w:val="28"/>
          <w:lang w:val="ro-RO"/>
        </w:rPr>
        <w:t>reconfirmă perspectiva plasării ratei anuale a inflaţiei în intervalul de variaţie din jurul ţintei pe tot parcursului orizontului de prognoză,</w:t>
      </w:r>
      <w:r w:rsidRPr="00E27127">
        <w:rPr>
          <w:sz w:val="28"/>
          <w:szCs w:val="28"/>
          <w:lang w:val="ro-RO"/>
        </w:rPr>
        <w:t xml:space="preserve"> ceea ce creează premise pentru </w:t>
      </w:r>
      <w:r>
        <w:rPr>
          <w:sz w:val="28"/>
          <w:szCs w:val="28"/>
          <w:lang w:val="ro-RO"/>
        </w:rPr>
        <w:t>păstrarea</w:t>
      </w:r>
      <w:r w:rsidRPr="00E27127">
        <w:rPr>
          <w:sz w:val="28"/>
          <w:szCs w:val="28"/>
          <w:lang w:val="ro-RO"/>
        </w:rPr>
        <w:t xml:space="preserve"> stabilităţii financiare şi </w:t>
      </w:r>
      <w:r>
        <w:rPr>
          <w:sz w:val="28"/>
          <w:szCs w:val="28"/>
          <w:lang w:val="ro-RO"/>
        </w:rPr>
        <w:t>întărirea</w:t>
      </w:r>
      <w:r w:rsidRPr="00FB7C24">
        <w:rPr>
          <w:sz w:val="28"/>
          <w:szCs w:val="28"/>
          <w:lang w:val="ro-RO"/>
        </w:rPr>
        <w:t xml:space="preserve"> încrederii </w:t>
      </w:r>
      <w:r>
        <w:rPr>
          <w:sz w:val="28"/>
          <w:szCs w:val="28"/>
          <w:lang w:val="ro-RO"/>
        </w:rPr>
        <w:t xml:space="preserve">operatorilor economici şi a populaţiei </w:t>
      </w:r>
      <w:r w:rsidRPr="00E27127">
        <w:rPr>
          <w:sz w:val="28"/>
          <w:szCs w:val="28"/>
          <w:lang w:val="ro-RO"/>
        </w:rPr>
        <w:t>ca elemente esenţiale ale redresării pe baze sustenabile a economiei româneşti.</w:t>
      </w:r>
      <w:r w:rsidRPr="00E27127">
        <w:rPr>
          <w:lang w:val="ro-RO"/>
        </w:rPr>
        <w:t xml:space="preserve"> </w:t>
      </w:r>
    </w:p>
    <w:p w:rsidR="00E75AEA" w:rsidRDefault="00E75AEA" w:rsidP="00E27127">
      <w:pPr>
        <w:spacing w:before="100" w:beforeAutospacing="1" w:after="100" w:afterAutospacing="1"/>
        <w:jc w:val="both"/>
        <w:rPr>
          <w:sz w:val="28"/>
          <w:szCs w:val="28"/>
          <w:lang w:val="ro-RO"/>
        </w:rPr>
      </w:pPr>
      <w:r>
        <w:rPr>
          <w:sz w:val="28"/>
          <w:szCs w:val="28"/>
          <w:lang w:val="ro-RO"/>
        </w:rPr>
        <w:t>Persistă însă r</w:t>
      </w:r>
      <w:r w:rsidRPr="00E169A8">
        <w:rPr>
          <w:sz w:val="28"/>
          <w:szCs w:val="28"/>
          <w:lang w:val="ro-RO"/>
        </w:rPr>
        <w:t>iscuri asociate în principal factorilor aflaţi în afara sferei de influenţă a băncii centrale</w:t>
      </w:r>
      <w:r w:rsidRPr="00E27127">
        <w:rPr>
          <w:sz w:val="28"/>
          <w:szCs w:val="28"/>
          <w:lang w:val="ro-RO"/>
        </w:rPr>
        <w:t xml:space="preserve"> – ajustările preţurilor administrate, </w:t>
      </w:r>
      <w:r>
        <w:rPr>
          <w:sz w:val="28"/>
          <w:szCs w:val="28"/>
          <w:lang w:val="ro-RO"/>
        </w:rPr>
        <w:t xml:space="preserve">posibile </w:t>
      </w:r>
      <w:r w:rsidRPr="00E27127">
        <w:rPr>
          <w:sz w:val="28"/>
          <w:szCs w:val="28"/>
          <w:lang w:val="ro-RO"/>
        </w:rPr>
        <w:t>derapaje în privinţa politicii fiscale şi a implementării reformelor structurale, precum şi tensiunile asociate contextului electoral</w:t>
      </w:r>
      <w:r>
        <w:rPr>
          <w:sz w:val="28"/>
          <w:szCs w:val="28"/>
          <w:lang w:val="ro-RO"/>
        </w:rPr>
        <w:t xml:space="preserve">. </w:t>
      </w:r>
    </w:p>
    <w:p w:rsidR="00E75AEA" w:rsidRPr="00A04379" w:rsidRDefault="00E75AEA" w:rsidP="00E27127">
      <w:pPr>
        <w:spacing w:before="100" w:beforeAutospacing="1" w:after="100" w:afterAutospacing="1"/>
        <w:jc w:val="both"/>
        <w:rPr>
          <w:i/>
          <w:lang w:val="ro-RO"/>
        </w:rPr>
      </w:pPr>
      <w:r>
        <w:rPr>
          <w:sz w:val="28"/>
          <w:szCs w:val="28"/>
          <w:lang w:val="ro-RO"/>
        </w:rPr>
        <w:t>Aceste riscuri, coroborate cu i</w:t>
      </w:r>
      <w:r w:rsidRPr="00E27127">
        <w:rPr>
          <w:sz w:val="28"/>
          <w:szCs w:val="28"/>
          <w:lang w:val="ro-RO"/>
        </w:rPr>
        <w:t>ncertitudinile legate de evoluţiile mediului extern</w:t>
      </w:r>
      <w:r>
        <w:rPr>
          <w:sz w:val="28"/>
          <w:szCs w:val="28"/>
          <w:lang w:val="ro-RO"/>
        </w:rPr>
        <w:t>, ale fluxurilor de capital</w:t>
      </w:r>
      <w:r w:rsidRPr="00E27127">
        <w:rPr>
          <w:sz w:val="28"/>
          <w:szCs w:val="28"/>
          <w:lang w:val="ro-RO"/>
        </w:rPr>
        <w:t xml:space="preserve"> şi ale unor preţuri volatile</w:t>
      </w:r>
      <w:r>
        <w:rPr>
          <w:sz w:val="28"/>
          <w:szCs w:val="28"/>
          <w:lang w:val="ro-RO"/>
        </w:rPr>
        <w:t xml:space="preserve"> </w:t>
      </w:r>
      <w:r w:rsidRPr="00395D78">
        <w:rPr>
          <w:sz w:val="28"/>
          <w:szCs w:val="28"/>
          <w:lang w:val="ro-RO"/>
        </w:rPr>
        <w:t xml:space="preserve">reclamă calibrarea atentă a instrumentelor de politică monetară </w:t>
      </w:r>
      <w:r>
        <w:rPr>
          <w:sz w:val="28"/>
          <w:szCs w:val="28"/>
          <w:lang w:val="ro-RO"/>
        </w:rPr>
        <w:t>în vederea a</w:t>
      </w:r>
      <w:r w:rsidRPr="00E27127">
        <w:rPr>
          <w:sz w:val="28"/>
          <w:szCs w:val="28"/>
          <w:lang w:val="ro-RO"/>
        </w:rPr>
        <w:t>sigur</w:t>
      </w:r>
      <w:r>
        <w:rPr>
          <w:sz w:val="28"/>
          <w:szCs w:val="28"/>
          <w:lang w:val="ro-RO"/>
        </w:rPr>
        <w:t>ării</w:t>
      </w:r>
      <w:r w:rsidRPr="00E27127">
        <w:rPr>
          <w:sz w:val="28"/>
          <w:szCs w:val="28"/>
          <w:lang w:val="ro-RO"/>
        </w:rPr>
        <w:t xml:space="preserve"> stabilităţii preţurilor pe termen mediu</w:t>
      </w:r>
      <w:r>
        <w:rPr>
          <w:sz w:val="28"/>
          <w:szCs w:val="28"/>
          <w:lang w:val="ro-RO"/>
        </w:rPr>
        <w:t xml:space="preserve"> </w:t>
      </w:r>
      <w:r w:rsidRPr="00477088">
        <w:rPr>
          <w:sz w:val="28"/>
          <w:szCs w:val="28"/>
          <w:lang w:val="ro-RO"/>
        </w:rPr>
        <w:t>şi a stabilităţii financiare.</w:t>
      </w:r>
    </w:p>
    <w:p w:rsidR="00E75AEA" w:rsidRPr="00E27127" w:rsidRDefault="00E75AEA" w:rsidP="00E878F3">
      <w:pPr>
        <w:pStyle w:val="NormalWeb"/>
        <w:jc w:val="both"/>
        <w:rPr>
          <w:sz w:val="28"/>
          <w:szCs w:val="28"/>
          <w:lang w:val="ro-RO"/>
        </w:rPr>
      </w:pPr>
      <w:r w:rsidRPr="00E27127">
        <w:rPr>
          <w:sz w:val="28"/>
          <w:szCs w:val="28"/>
          <w:lang w:val="ro-RO"/>
        </w:rPr>
        <w:t>În aceste condiţii, CA al BNR a decis reducerea ratei dobânzii de politică monetară la nivelul de 5,</w:t>
      </w:r>
      <w:r>
        <w:rPr>
          <w:sz w:val="28"/>
          <w:szCs w:val="28"/>
          <w:lang w:val="ro-RO"/>
        </w:rPr>
        <w:t>50</w:t>
      </w:r>
      <w:r w:rsidRPr="00E27127">
        <w:rPr>
          <w:sz w:val="28"/>
          <w:szCs w:val="28"/>
          <w:lang w:val="ro-RO"/>
        </w:rPr>
        <w:t xml:space="preserve"> la sută pe an de la 5,75 la sută. Astfel, începând cu data de 3 februarie 2012,</w:t>
      </w:r>
      <w:r w:rsidRPr="00E27127">
        <w:rPr>
          <w:lang w:val="ro-RO"/>
        </w:rPr>
        <w:t xml:space="preserve"> </w:t>
      </w:r>
      <w:r w:rsidRPr="00E27127">
        <w:rPr>
          <w:sz w:val="28"/>
          <w:szCs w:val="28"/>
          <w:lang w:val="ro-RO"/>
        </w:rPr>
        <w:t>rata dobânzii pentru facilitatea de depozit se reduce la nivelul de 1,</w:t>
      </w:r>
      <w:r>
        <w:rPr>
          <w:sz w:val="28"/>
          <w:szCs w:val="28"/>
          <w:lang w:val="ro-RO"/>
        </w:rPr>
        <w:t>50</w:t>
      </w:r>
      <w:r w:rsidRPr="00E27127">
        <w:rPr>
          <w:sz w:val="28"/>
          <w:szCs w:val="28"/>
          <w:lang w:val="ro-RO"/>
        </w:rPr>
        <w:t xml:space="preserve"> la sută de la 1,75 la sută, iar rata dobânzii pentru facilitatea de creditare (Lombard) va fi de 9,</w:t>
      </w:r>
      <w:r>
        <w:rPr>
          <w:sz w:val="28"/>
          <w:szCs w:val="28"/>
          <w:lang w:val="ro-RO"/>
        </w:rPr>
        <w:t>50</w:t>
      </w:r>
      <w:r w:rsidRPr="00E27127">
        <w:rPr>
          <w:sz w:val="28"/>
          <w:szCs w:val="28"/>
          <w:lang w:val="ro-RO"/>
        </w:rPr>
        <w:t xml:space="preserve"> la sută pe an faţă de 9,75 la sută.</w:t>
      </w:r>
      <w:r w:rsidRPr="00E27127">
        <w:rPr>
          <w:lang w:val="ro-RO"/>
        </w:rPr>
        <w:t xml:space="preserve"> </w:t>
      </w:r>
      <w:r w:rsidRPr="00E27127">
        <w:rPr>
          <w:sz w:val="28"/>
          <w:szCs w:val="28"/>
          <w:lang w:val="ro-RO"/>
        </w:rPr>
        <w:t xml:space="preserve"> </w:t>
      </w:r>
    </w:p>
    <w:p w:rsidR="00E75AEA" w:rsidRPr="00E27127" w:rsidRDefault="00E75AEA" w:rsidP="00E878F3">
      <w:pPr>
        <w:pStyle w:val="NormalWeb"/>
        <w:jc w:val="both"/>
        <w:rPr>
          <w:sz w:val="28"/>
          <w:szCs w:val="28"/>
          <w:lang w:val="ro-RO"/>
        </w:rPr>
      </w:pPr>
      <w:r w:rsidRPr="00E27127">
        <w:rPr>
          <w:sz w:val="28"/>
          <w:szCs w:val="28"/>
          <w:lang w:val="ro-RO"/>
        </w:rPr>
        <w:t>CA al BNR a hotărât, de asemenea, gestionarea adecvată a lichidităţii din sistemul bancar şi menţinerea nivelurilor actuale ale ratelor rezervelor minime obligatorii aplicabile pasivelor în lei şi, respectiv, în valută ale instituţiilor de credit.</w:t>
      </w:r>
    </w:p>
    <w:p w:rsidR="00E75AEA" w:rsidRDefault="00E75AEA" w:rsidP="00395D78">
      <w:pPr>
        <w:autoSpaceDE w:val="0"/>
        <w:autoSpaceDN w:val="0"/>
        <w:adjustRightInd w:val="0"/>
        <w:jc w:val="both"/>
        <w:rPr>
          <w:i/>
          <w:sz w:val="28"/>
          <w:szCs w:val="28"/>
          <w:lang w:val="ro-RO"/>
        </w:rPr>
      </w:pPr>
      <w:r w:rsidRPr="00E27127">
        <w:rPr>
          <w:sz w:val="28"/>
          <w:szCs w:val="28"/>
          <w:lang w:val="ro-RO"/>
        </w:rPr>
        <w:t xml:space="preserve">Ajustarea graduală şi judicioasă a condiţiilor monetare reale în sens larg este de natură să contribuie la </w:t>
      </w:r>
      <w:r w:rsidRPr="00477088">
        <w:rPr>
          <w:sz w:val="28"/>
          <w:szCs w:val="28"/>
          <w:lang w:val="ro-RO"/>
        </w:rPr>
        <w:t>ancorarea eficace a anticipaţiilor</w:t>
      </w:r>
      <w:r w:rsidRPr="00E27127">
        <w:rPr>
          <w:sz w:val="28"/>
          <w:szCs w:val="28"/>
          <w:lang w:val="ro-RO"/>
        </w:rPr>
        <w:t xml:space="preserve"> </w:t>
      </w:r>
      <w:r>
        <w:rPr>
          <w:sz w:val="28"/>
          <w:szCs w:val="28"/>
          <w:lang w:val="ro-RO"/>
        </w:rPr>
        <w:t xml:space="preserve">pe întreg orizontul proiecţiei, </w:t>
      </w:r>
      <w:r w:rsidRPr="00E27127">
        <w:rPr>
          <w:sz w:val="28"/>
          <w:szCs w:val="28"/>
          <w:lang w:val="ro-RO"/>
        </w:rPr>
        <w:t xml:space="preserve">având în vedere perspectivele inflaţiei, respectiv </w:t>
      </w:r>
      <w:r>
        <w:rPr>
          <w:sz w:val="28"/>
          <w:szCs w:val="28"/>
          <w:lang w:val="ro-RO"/>
        </w:rPr>
        <w:t xml:space="preserve">continuarea </w:t>
      </w:r>
      <w:r w:rsidRPr="00E27127">
        <w:rPr>
          <w:sz w:val="28"/>
          <w:szCs w:val="28"/>
          <w:lang w:val="ro-RO"/>
        </w:rPr>
        <w:t>deceler</w:t>
      </w:r>
      <w:r>
        <w:rPr>
          <w:sz w:val="28"/>
          <w:szCs w:val="28"/>
          <w:lang w:val="ro-RO"/>
        </w:rPr>
        <w:t>ării</w:t>
      </w:r>
      <w:r w:rsidRPr="00E27127">
        <w:rPr>
          <w:sz w:val="28"/>
          <w:szCs w:val="28"/>
          <w:lang w:val="ro-RO"/>
        </w:rPr>
        <w:t xml:space="preserve"> atât a inflaţiei totale, cât şi a celei de bază în perioada imediat următoare, dar şi efectele statistice</w:t>
      </w:r>
      <w:r>
        <w:rPr>
          <w:sz w:val="28"/>
          <w:szCs w:val="28"/>
          <w:lang w:val="ro-RO"/>
        </w:rPr>
        <w:t xml:space="preserve"> de bază </w:t>
      </w:r>
      <w:r w:rsidRPr="00737C34">
        <w:rPr>
          <w:sz w:val="28"/>
          <w:szCs w:val="28"/>
          <w:lang w:val="ro-RO"/>
        </w:rPr>
        <w:t>nefavorabile</w:t>
      </w:r>
      <w:r>
        <w:rPr>
          <w:sz w:val="28"/>
          <w:szCs w:val="28"/>
          <w:lang w:val="ro-RO"/>
        </w:rPr>
        <w:t xml:space="preserve"> </w:t>
      </w:r>
      <w:r w:rsidRPr="00E27127">
        <w:rPr>
          <w:sz w:val="28"/>
          <w:szCs w:val="28"/>
          <w:lang w:val="ro-RO"/>
        </w:rPr>
        <w:t>care vor influenţ</w:t>
      </w:r>
      <w:r>
        <w:rPr>
          <w:sz w:val="28"/>
          <w:szCs w:val="28"/>
          <w:lang w:val="ro-RO"/>
        </w:rPr>
        <w:t xml:space="preserve">a </w:t>
      </w:r>
      <w:r w:rsidRPr="00737C34">
        <w:rPr>
          <w:sz w:val="28"/>
          <w:szCs w:val="28"/>
          <w:lang w:val="ro-RO"/>
        </w:rPr>
        <w:t xml:space="preserve">evoluţia </w:t>
      </w:r>
      <w:r w:rsidRPr="00E27127">
        <w:rPr>
          <w:sz w:val="28"/>
          <w:szCs w:val="28"/>
          <w:lang w:val="ro-RO"/>
        </w:rPr>
        <w:t>acesteia în partea a doua a anului 2012 (fără a depăşi însă intervalul de variaţie din jurul ţintei de 3 la sută)</w:t>
      </w:r>
      <w:r w:rsidRPr="00E27127">
        <w:rPr>
          <w:i/>
          <w:sz w:val="28"/>
          <w:szCs w:val="28"/>
          <w:lang w:val="ro-RO"/>
        </w:rPr>
        <w:t>.</w:t>
      </w:r>
    </w:p>
    <w:p w:rsidR="00E75AEA" w:rsidRDefault="00E75AEA" w:rsidP="00395D78">
      <w:pPr>
        <w:autoSpaceDE w:val="0"/>
        <w:autoSpaceDN w:val="0"/>
        <w:adjustRightInd w:val="0"/>
        <w:jc w:val="both"/>
        <w:rPr>
          <w:i/>
          <w:sz w:val="28"/>
          <w:szCs w:val="28"/>
          <w:lang w:val="ro-RO"/>
        </w:rPr>
      </w:pPr>
    </w:p>
    <w:p w:rsidR="00E75AEA" w:rsidRPr="00477088" w:rsidRDefault="00E75AEA" w:rsidP="00395D78">
      <w:pPr>
        <w:autoSpaceDE w:val="0"/>
        <w:autoSpaceDN w:val="0"/>
        <w:adjustRightInd w:val="0"/>
        <w:jc w:val="both"/>
        <w:rPr>
          <w:sz w:val="28"/>
          <w:szCs w:val="28"/>
          <w:lang w:val="ro-RO"/>
        </w:rPr>
      </w:pPr>
      <w:r w:rsidRPr="00477088">
        <w:rPr>
          <w:sz w:val="28"/>
          <w:szCs w:val="28"/>
          <w:lang w:val="ro-RO"/>
        </w:rPr>
        <w:t>Atingerea obiectivelor privind stabilitatea preţurilor şi cea financiar</w:t>
      </w:r>
      <w:r>
        <w:rPr>
          <w:sz w:val="28"/>
          <w:szCs w:val="28"/>
          <w:lang w:val="ro-RO"/>
        </w:rPr>
        <w:t>ă</w:t>
      </w:r>
      <w:r w:rsidRPr="00477088">
        <w:rPr>
          <w:sz w:val="28"/>
          <w:szCs w:val="28"/>
          <w:lang w:val="ro-RO"/>
        </w:rPr>
        <w:t xml:space="preserve">, în contextul îndeplinirii angajamentelor </w:t>
      </w:r>
      <w:r>
        <w:rPr>
          <w:sz w:val="28"/>
          <w:szCs w:val="28"/>
          <w:lang w:val="ro-RO"/>
        </w:rPr>
        <w:t>convenite</w:t>
      </w:r>
      <w:r w:rsidRPr="00477088">
        <w:rPr>
          <w:sz w:val="28"/>
          <w:szCs w:val="28"/>
          <w:lang w:val="ro-RO"/>
        </w:rPr>
        <w:t xml:space="preserve"> în </w:t>
      </w:r>
      <w:r>
        <w:rPr>
          <w:sz w:val="28"/>
          <w:szCs w:val="28"/>
          <w:lang w:val="ro-RO"/>
        </w:rPr>
        <w:t xml:space="preserve">cadrul </w:t>
      </w:r>
      <w:r w:rsidRPr="00477088">
        <w:rPr>
          <w:sz w:val="28"/>
          <w:szCs w:val="28"/>
          <w:lang w:val="ro-RO"/>
        </w:rPr>
        <w:t>acorduril</w:t>
      </w:r>
      <w:r>
        <w:rPr>
          <w:sz w:val="28"/>
          <w:szCs w:val="28"/>
          <w:lang w:val="ro-RO"/>
        </w:rPr>
        <w:t>or</w:t>
      </w:r>
      <w:r w:rsidRPr="00477088">
        <w:rPr>
          <w:sz w:val="28"/>
          <w:szCs w:val="28"/>
          <w:lang w:val="ro-RO"/>
        </w:rPr>
        <w:t xml:space="preserve"> cu Uniunea Europeană, Fondul Monetar Internaţional şi alte instituţii financiare internaţionale, este esenţială pentru asigurarea unei creşteri economice de durată. În mod deosebit, sporirea gradului de absorbţie a fondurilor europene</w:t>
      </w:r>
      <w:r>
        <w:rPr>
          <w:sz w:val="28"/>
          <w:szCs w:val="28"/>
          <w:lang w:val="ro-RO"/>
        </w:rPr>
        <w:t>,</w:t>
      </w:r>
      <w:r w:rsidRPr="00477088">
        <w:rPr>
          <w:sz w:val="28"/>
          <w:szCs w:val="28"/>
          <w:lang w:val="ro-RO"/>
        </w:rPr>
        <w:t xml:space="preserve"> alături de refacerea graduală a cererii interne</w:t>
      </w:r>
      <w:r>
        <w:rPr>
          <w:sz w:val="28"/>
          <w:szCs w:val="28"/>
          <w:lang w:val="ro-RO"/>
        </w:rPr>
        <w:t>,</w:t>
      </w:r>
      <w:r w:rsidRPr="00477088">
        <w:rPr>
          <w:sz w:val="28"/>
          <w:szCs w:val="28"/>
          <w:lang w:val="ro-RO"/>
        </w:rPr>
        <w:t xml:space="preserve"> vor asigura redresarea pe baze sustenabile a economiei româneşti.</w:t>
      </w:r>
    </w:p>
    <w:p w:rsidR="00E75AEA" w:rsidRPr="00395D78" w:rsidRDefault="00E75AEA" w:rsidP="00395D78">
      <w:pPr>
        <w:autoSpaceDE w:val="0"/>
        <w:autoSpaceDN w:val="0"/>
        <w:adjustRightInd w:val="0"/>
        <w:jc w:val="both"/>
        <w:rPr>
          <w:i/>
          <w:sz w:val="28"/>
          <w:szCs w:val="28"/>
          <w:lang w:val="ro-RO"/>
        </w:rPr>
      </w:pPr>
    </w:p>
    <w:p w:rsidR="00E75AEA" w:rsidRPr="00E27127" w:rsidRDefault="00E75AEA" w:rsidP="00395D78">
      <w:pPr>
        <w:autoSpaceDE w:val="0"/>
        <w:autoSpaceDN w:val="0"/>
        <w:adjustRightInd w:val="0"/>
        <w:jc w:val="both"/>
        <w:rPr>
          <w:sz w:val="28"/>
          <w:szCs w:val="28"/>
          <w:lang w:val="ro-RO"/>
        </w:rPr>
      </w:pPr>
      <w:r w:rsidRPr="00E27127">
        <w:rPr>
          <w:sz w:val="28"/>
          <w:szCs w:val="28"/>
          <w:lang w:val="ro-RO"/>
        </w:rPr>
        <w:t>CA al BNR reafirmă că BNR va continua să monitorizeze atent evoluţiile interne şi ale mediului economic global, astfel încât, prin adecvarea corespunzătoare a instrumentelor sale, să asigure atingerea obiectivelor de stabilitate a preţurilor şi de stabilitate financiară</w:t>
      </w:r>
      <w:r>
        <w:rPr>
          <w:sz w:val="28"/>
          <w:szCs w:val="28"/>
          <w:lang w:val="ro-RO"/>
        </w:rPr>
        <w:t>.</w:t>
      </w:r>
    </w:p>
    <w:p w:rsidR="00E75AEA" w:rsidRPr="00E27127" w:rsidRDefault="00E75AEA" w:rsidP="00703F82">
      <w:pPr>
        <w:pStyle w:val="NormalWeb"/>
        <w:pBdr>
          <w:bottom w:val="single" w:sz="6" w:space="1" w:color="auto"/>
        </w:pBdr>
        <w:jc w:val="both"/>
        <w:rPr>
          <w:sz w:val="28"/>
          <w:szCs w:val="28"/>
          <w:lang w:val="ro-RO"/>
        </w:rPr>
      </w:pPr>
      <w:r w:rsidRPr="00E27127">
        <w:rPr>
          <w:sz w:val="28"/>
          <w:szCs w:val="28"/>
          <w:lang w:val="ro-RO"/>
        </w:rPr>
        <w:t>Raportul trimestrial asupra inflaţiei va fi prezentat publicului într-o conferinţă de presă organizată în data de 7 februarie 2012, în cadrul căreia va fi anunţat şi calendarul pe următoarele 12 luni al şedinţelor dedicate politicii monetare.</w:t>
      </w:r>
    </w:p>
    <w:p w:rsidR="00E75AEA" w:rsidRPr="00E27127" w:rsidRDefault="00E75AEA" w:rsidP="00703F82">
      <w:pPr>
        <w:pStyle w:val="NormalWeb"/>
        <w:jc w:val="both"/>
        <w:rPr>
          <w:sz w:val="28"/>
          <w:szCs w:val="28"/>
          <w:lang w:val="ro-RO"/>
        </w:rPr>
      </w:pPr>
    </w:p>
    <w:p w:rsidR="00E75AEA" w:rsidRPr="00E27127" w:rsidRDefault="00E75AEA" w:rsidP="003E5A2B">
      <w:pPr>
        <w:pStyle w:val="NormalWeb"/>
        <w:jc w:val="both"/>
        <w:rPr>
          <w:sz w:val="28"/>
          <w:szCs w:val="28"/>
          <w:lang w:val="ro-RO"/>
        </w:rPr>
      </w:pPr>
    </w:p>
    <w:sectPr w:rsidR="00E75AEA" w:rsidRPr="00E27127" w:rsidSect="00696333">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Tahoma">
    <w:panose1 w:val="020B0604030504040204"/>
    <w:charset w:val="EE"/>
    <w:family w:val="swiss"/>
    <w:pitch w:val="variable"/>
    <w:sig w:usb0="61002A87" w:usb1="80000000" w:usb2="00000008" w:usb3="00000000" w:csb0="000101FF" w:csb1="00000000"/>
  </w:font>
  <w:font w:name="Times New Roman Bold">
    <w:altName w:val="Times New Roman"/>
    <w:panose1 w:val="02020803070505020304"/>
    <w:charset w:val="00"/>
    <w:family w:val="roman"/>
    <w:notTrueType/>
    <w:pitch w:val="variable"/>
    <w:sig w:usb0="00000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B531C1"/>
    <w:multiLevelType w:val="multilevel"/>
    <w:tmpl w:val="113CA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BBC1C3B"/>
    <w:multiLevelType w:val="hybridMultilevel"/>
    <w:tmpl w:val="50AC26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30A1C"/>
    <w:rsid w:val="000143C8"/>
    <w:rsid w:val="000166C3"/>
    <w:rsid w:val="00017AB7"/>
    <w:rsid w:val="00017B59"/>
    <w:rsid w:val="000243B9"/>
    <w:rsid w:val="0004455C"/>
    <w:rsid w:val="00045230"/>
    <w:rsid w:val="00052EA6"/>
    <w:rsid w:val="000611FB"/>
    <w:rsid w:val="00067B08"/>
    <w:rsid w:val="00072073"/>
    <w:rsid w:val="00080A06"/>
    <w:rsid w:val="00097437"/>
    <w:rsid w:val="000B395F"/>
    <w:rsid w:val="000D5898"/>
    <w:rsid w:val="000E574B"/>
    <w:rsid w:val="000E5ACE"/>
    <w:rsid w:val="000F7001"/>
    <w:rsid w:val="0010167E"/>
    <w:rsid w:val="001056E3"/>
    <w:rsid w:val="00120BFB"/>
    <w:rsid w:val="001239F1"/>
    <w:rsid w:val="00125D94"/>
    <w:rsid w:val="00130CBE"/>
    <w:rsid w:val="00134216"/>
    <w:rsid w:val="00142871"/>
    <w:rsid w:val="00152E47"/>
    <w:rsid w:val="00161FBB"/>
    <w:rsid w:val="001631B2"/>
    <w:rsid w:val="0017377F"/>
    <w:rsid w:val="00184163"/>
    <w:rsid w:val="00187597"/>
    <w:rsid w:val="001976A7"/>
    <w:rsid w:val="001A1D13"/>
    <w:rsid w:val="001A47FD"/>
    <w:rsid w:val="001A744B"/>
    <w:rsid w:val="001B3687"/>
    <w:rsid w:val="001B4132"/>
    <w:rsid w:val="001C2107"/>
    <w:rsid w:val="001C41EF"/>
    <w:rsid w:val="001C46A2"/>
    <w:rsid w:val="001D20A9"/>
    <w:rsid w:val="001D6C2E"/>
    <w:rsid w:val="001E0E5F"/>
    <w:rsid w:val="001E2A1F"/>
    <w:rsid w:val="001F0398"/>
    <w:rsid w:val="001F0F97"/>
    <w:rsid w:val="001F537E"/>
    <w:rsid w:val="001F541D"/>
    <w:rsid w:val="00215757"/>
    <w:rsid w:val="00233F82"/>
    <w:rsid w:val="0024188B"/>
    <w:rsid w:val="002468C4"/>
    <w:rsid w:val="00246F35"/>
    <w:rsid w:val="00250C79"/>
    <w:rsid w:val="00251E9B"/>
    <w:rsid w:val="00253E0D"/>
    <w:rsid w:val="00264F58"/>
    <w:rsid w:val="002668A1"/>
    <w:rsid w:val="00267070"/>
    <w:rsid w:val="00274ACD"/>
    <w:rsid w:val="002A4239"/>
    <w:rsid w:val="002A570A"/>
    <w:rsid w:val="002B6611"/>
    <w:rsid w:val="002D7F16"/>
    <w:rsid w:val="002E45E7"/>
    <w:rsid w:val="003065E2"/>
    <w:rsid w:val="00312C08"/>
    <w:rsid w:val="00316630"/>
    <w:rsid w:val="00320ECE"/>
    <w:rsid w:val="00324671"/>
    <w:rsid w:val="00335E19"/>
    <w:rsid w:val="00351D8B"/>
    <w:rsid w:val="003665DF"/>
    <w:rsid w:val="00370117"/>
    <w:rsid w:val="00380B20"/>
    <w:rsid w:val="00385288"/>
    <w:rsid w:val="00391408"/>
    <w:rsid w:val="00395D78"/>
    <w:rsid w:val="003A2C92"/>
    <w:rsid w:val="003A3AE4"/>
    <w:rsid w:val="003A412F"/>
    <w:rsid w:val="003A7274"/>
    <w:rsid w:val="003B488E"/>
    <w:rsid w:val="003B75A1"/>
    <w:rsid w:val="003E0036"/>
    <w:rsid w:val="003E03DC"/>
    <w:rsid w:val="003E5A2B"/>
    <w:rsid w:val="003F0D73"/>
    <w:rsid w:val="003F3DFD"/>
    <w:rsid w:val="0040049B"/>
    <w:rsid w:val="00410F89"/>
    <w:rsid w:val="00414663"/>
    <w:rsid w:val="00414CF0"/>
    <w:rsid w:val="00421CC1"/>
    <w:rsid w:val="0043744D"/>
    <w:rsid w:val="0044558F"/>
    <w:rsid w:val="00461D4C"/>
    <w:rsid w:val="0047060B"/>
    <w:rsid w:val="0047091E"/>
    <w:rsid w:val="00477088"/>
    <w:rsid w:val="00481424"/>
    <w:rsid w:val="004909E5"/>
    <w:rsid w:val="004A3F7F"/>
    <w:rsid w:val="004C3169"/>
    <w:rsid w:val="004D204C"/>
    <w:rsid w:val="004E1F3E"/>
    <w:rsid w:val="004E4211"/>
    <w:rsid w:val="005110C3"/>
    <w:rsid w:val="00515436"/>
    <w:rsid w:val="005247C8"/>
    <w:rsid w:val="00530A1C"/>
    <w:rsid w:val="00536591"/>
    <w:rsid w:val="00536D8A"/>
    <w:rsid w:val="00561088"/>
    <w:rsid w:val="005623A2"/>
    <w:rsid w:val="005728B6"/>
    <w:rsid w:val="00582E2F"/>
    <w:rsid w:val="00594A7B"/>
    <w:rsid w:val="005960E4"/>
    <w:rsid w:val="005A0BAD"/>
    <w:rsid w:val="005A2D33"/>
    <w:rsid w:val="005B2C53"/>
    <w:rsid w:val="005B611B"/>
    <w:rsid w:val="005C5A17"/>
    <w:rsid w:val="005D5643"/>
    <w:rsid w:val="005E0B5D"/>
    <w:rsid w:val="005E1156"/>
    <w:rsid w:val="005E386E"/>
    <w:rsid w:val="005E5074"/>
    <w:rsid w:val="005F41CF"/>
    <w:rsid w:val="00610981"/>
    <w:rsid w:val="00616A56"/>
    <w:rsid w:val="006237AF"/>
    <w:rsid w:val="006301A7"/>
    <w:rsid w:val="00696333"/>
    <w:rsid w:val="006C04D2"/>
    <w:rsid w:val="006D3352"/>
    <w:rsid w:val="006D69C4"/>
    <w:rsid w:val="006E7351"/>
    <w:rsid w:val="006F07C4"/>
    <w:rsid w:val="006F552A"/>
    <w:rsid w:val="00701253"/>
    <w:rsid w:val="00703F82"/>
    <w:rsid w:val="00724912"/>
    <w:rsid w:val="00725DBE"/>
    <w:rsid w:val="007332ED"/>
    <w:rsid w:val="00737C34"/>
    <w:rsid w:val="00737F58"/>
    <w:rsid w:val="0074076F"/>
    <w:rsid w:val="00742981"/>
    <w:rsid w:val="0075034D"/>
    <w:rsid w:val="00755E16"/>
    <w:rsid w:val="00756E53"/>
    <w:rsid w:val="00767F19"/>
    <w:rsid w:val="0077316F"/>
    <w:rsid w:val="00774DD2"/>
    <w:rsid w:val="00784E5F"/>
    <w:rsid w:val="0078694B"/>
    <w:rsid w:val="007A4320"/>
    <w:rsid w:val="007A5F07"/>
    <w:rsid w:val="007B1F51"/>
    <w:rsid w:val="007B348A"/>
    <w:rsid w:val="007B65C1"/>
    <w:rsid w:val="007C45FA"/>
    <w:rsid w:val="007C7262"/>
    <w:rsid w:val="007D1498"/>
    <w:rsid w:val="007D45DF"/>
    <w:rsid w:val="007D58A5"/>
    <w:rsid w:val="007D70F7"/>
    <w:rsid w:val="007F133F"/>
    <w:rsid w:val="007F6D44"/>
    <w:rsid w:val="0080252B"/>
    <w:rsid w:val="00821C01"/>
    <w:rsid w:val="00822134"/>
    <w:rsid w:val="00827B1F"/>
    <w:rsid w:val="00830956"/>
    <w:rsid w:val="00831FD1"/>
    <w:rsid w:val="00832C31"/>
    <w:rsid w:val="0084226A"/>
    <w:rsid w:val="00843274"/>
    <w:rsid w:val="00847EB3"/>
    <w:rsid w:val="00850107"/>
    <w:rsid w:val="008518EA"/>
    <w:rsid w:val="00852F2A"/>
    <w:rsid w:val="0086158B"/>
    <w:rsid w:val="00864590"/>
    <w:rsid w:val="00871733"/>
    <w:rsid w:val="0089207D"/>
    <w:rsid w:val="008A0C31"/>
    <w:rsid w:val="008A3B7D"/>
    <w:rsid w:val="008A48A7"/>
    <w:rsid w:val="008E1D23"/>
    <w:rsid w:val="008F03AA"/>
    <w:rsid w:val="009072AB"/>
    <w:rsid w:val="00924931"/>
    <w:rsid w:val="00926DF7"/>
    <w:rsid w:val="009676CF"/>
    <w:rsid w:val="00976ADB"/>
    <w:rsid w:val="00980E84"/>
    <w:rsid w:val="009923E2"/>
    <w:rsid w:val="009A1D46"/>
    <w:rsid w:val="009B502A"/>
    <w:rsid w:val="009C41F6"/>
    <w:rsid w:val="009C7EC8"/>
    <w:rsid w:val="009D4CF6"/>
    <w:rsid w:val="009E22E4"/>
    <w:rsid w:val="009F0721"/>
    <w:rsid w:val="00A0017E"/>
    <w:rsid w:val="00A04379"/>
    <w:rsid w:val="00A0712F"/>
    <w:rsid w:val="00A5432D"/>
    <w:rsid w:val="00A73D88"/>
    <w:rsid w:val="00AA163D"/>
    <w:rsid w:val="00AA3714"/>
    <w:rsid w:val="00AC54A4"/>
    <w:rsid w:val="00AD2306"/>
    <w:rsid w:val="00AD30BA"/>
    <w:rsid w:val="00AD3F2E"/>
    <w:rsid w:val="00AD7BB3"/>
    <w:rsid w:val="00AF0074"/>
    <w:rsid w:val="00AF4E23"/>
    <w:rsid w:val="00B1325D"/>
    <w:rsid w:val="00B238F5"/>
    <w:rsid w:val="00B264D4"/>
    <w:rsid w:val="00B33166"/>
    <w:rsid w:val="00B35C49"/>
    <w:rsid w:val="00B37F52"/>
    <w:rsid w:val="00B45345"/>
    <w:rsid w:val="00B57E89"/>
    <w:rsid w:val="00B648D3"/>
    <w:rsid w:val="00B70B33"/>
    <w:rsid w:val="00B930C4"/>
    <w:rsid w:val="00B9323D"/>
    <w:rsid w:val="00BB5429"/>
    <w:rsid w:val="00BC10BB"/>
    <w:rsid w:val="00BE4B3B"/>
    <w:rsid w:val="00BE6312"/>
    <w:rsid w:val="00BE7DA7"/>
    <w:rsid w:val="00BF1BA9"/>
    <w:rsid w:val="00C02168"/>
    <w:rsid w:val="00C05147"/>
    <w:rsid w:val="00C135AE"/>
    <w:rsid w:val="00C44074"/>
    <w:rsid w:val="00C45C15"/>
    <w:rsid w:val="00C47E7A"/>
    <w:rsid w:val="00C575AD"/>
    <w:rsid w:val="00C86063"/>
    <w:rsid w:val="00C9215B"/>
    <w:rsid w:val="00CA1DDC"/>
    <w:rsid w:val="00CB19FB"/>
    <w:rsid w:val="00CB51ED"/>
    <w:rsid w:val="00CD29C5"/>
    <w:rsid w:val="00CD7DA9"/>
    <w:rsid w:val="00CE7B21"/>
    <w:rsid w:val="00D03FBF"/>
    <w:rsid w:val="00D12282"/>
    <w:rsid w:val="00D13DEF"/>
    <w:rsid w:val="00D241FF"/>
    <w:rsid w:val="00D26258"/>
    <w:rsid w:val="00D269BE"/>
    <w:rsid w:val="00D80AE6"/>
    <w:rsid w:val="00D93825"/>
    <w:rsid w:val="00DA6571"/>
    <w:rsid w:val="00DA657C"/>
    <w:rsid w:val="00DB5B2D"/>
    <w:rsid w:val="00DB62D2"/>
    <w:rsid w:val="00DC5136"/>
    <w:rsid w:val="00DD3DB9"/>
    <w:rsid w:val="00DE6087"/>
    <w:rsid w:val="00DE7239"/>
    <w:rsid w:val="00DF6B78"/>
    <w:rsid w:val="00DF7856"/>
    <w:rsid w:val="00E12E88"/>
    <w:rsid w:val="00E169A8"/>
    <w:rsid w:val="00E23DAE"/>
    <w:rsid w:val="00E27127"/>
    <w:rsid w:val="00E350FE"/>
    <w:rsid w:val="00E42EBE"/>
    <w:rsid w:val="00E55F01"/>
    <w:rsid w:val="00E63173"/>
    <w:rsid w:val="00E67CB0"/>
    <w:rsid w:val="00E74C46"/>
    <w:rsid w:val="00E75AEA"/>
    <w:rsid w:val="00E80731"/>
    <w:rsid w:val="00E878F3"/>
    <w:rsid w:val="00E92E9D"/>
    <w:rsid w:val="00EB3688"/>
    <w:rsid w:val="00ED2044"/>
    <w:rsid w:val="00EF66B4"/>
    <w:rsid w:val="00F014BF"/>
    <w:rsid w:val="00F01A80"/>
    <w:rsid w:val="00F303CE"/>
    <w:rsid w:val="00F30B34"/>
    <w:rsid w:val="00F44F39"/>
    <w:rsid w:val="00F44F6E"/>
    <w:rsid w:val="00F568EB"/>
    <w:rsid w:val="00F602E5"/>
    <w:rsid w:val="00F72395"/>
    <w:rsid w:val="00F728BF"/>
    <w:rsid w:val="00F767E8"/>
    <w:rsid w:val="00F76EE6"/>
    <w:rsid w:val="00F85860"/>
    <w:rsid w:val="00F85964"/>
    <w:rsid w:val="00F860F4"/>
    <w:rsid w:val="00F86905"/>
    <w:rsid w:val="00F96503"/>
    <w:rsid w:val="00F97CFE"/>
    <w:rsid w:val="00FA3288"/>
    <w:rsid w:val="00FA465E"/>
    <w:rsid w:val="00FB033A"/>
    <w:rsid w:val="00FB4528"/>
    <w:rsid w:val="00FB7C24"/>
    <w:rsid w:val="00FC63F1"/>
    <w:rsid w:val="00FF679F"/>
  </w:rsids>
  <m:mathPr>
    <m:mathFont m:val="Cambria Math"/>
    <m:brkBin m:val="before"/>
    <m:brkBinSub m:val="--"/>
    <m:smallFrac m:val="off"/>
    <m:dispDef/>
    <m:lMargin m:val="0"/>
    <m:rMargin m:val="0"/>
    <m:defJc m:val="centerGroup"/>
    <m:wrapIndent m:val="1440"/>
    <m:intLim m:val="subSup"/>
    <m:naryLim m:val="undOvr"/>
  </m:mathPr>
  <w:uiCompat97To2003/>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o-RO" w:eastAsia="ro-RO"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0A1C"/>
    <w:rPr>
      <w:rFonts w:ascii="Times New Roman" w:hAnsi="Times New Roman"/>
      <w:sz w:val="24"/>
      <w:szCs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F860F4"/>
    <w:pPr>
      <w:spacing w:before="100" w:beforeAutospacing="1" w:after="100" w:afterAutospacing="1"/>
    </w:pPr>
  </w:style>
  <w:style w:type="paragraph" w:styleId="ListParagraph">
    <w:name w:val="List Paragraph"/>
    <w:basedOn w:val="Normal"/>
    <w:uiPriority w:val="99"/>
    <w:qFormat/>
    <w:rsid w:val="00F860F4"/>
    <w:pPr>
      <w:ind w:left="720"/>
      <w:contextualSpacing/>
    </w:pPr>
  </w:style>
  <w:style w:type="character" w:styleId="Hyperlink">
    <w:name w:val="Hyperlink"/>
    <w:basedOn w:val="DefaultParagraphFont"/>
    <w:uiPriority w:val="99"/>
    <w:rsid w:val="00481424"/>
    <w:rPr>
      <w:rFonts w:cs="Times New Roman"/>
      <w:color w:val="0000FF"/>
      <w:u w:val="single"/>
    </w:rPr>
  </w:style>
  <w:style w:type="paragraph" w:styleId="BalloonText">
    <w:name w:val="Balloon Text"/>
    <w:basedOn w:val="Normal"/>
    <w:link w:val="BalloonTextChar"/>
    <w:uiPriority w:val="99"/>
    <w:semiHidden/>
    <w:rsid w:val="001F0F9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E7B21"/>
    <w:rPr>
      <w:rFonts w:ascii="Times New Roman" w:hAnsi="Times New Roman" w:cs="Times New Roman"/>
      <w:sz w:val="2"/>
    </w:rPr>
  </w:style>
</w:styles>
</file>

<file path=word/webSettings.xml><?xml version="1.0" encoding="utf-8"?>
<w:webSettings xmlns:r="http://schemas.openxmlformats.org/officeDocument/2006/relationships" xmlns:w="http://schemas.openxmlformats.org/wordprocessingml/2006/main">
  <w:divs>
    <w:div w:id="123474543">
      <w:marLeft w:val="0"/>
      <w:marRight w:val="0"/>
      <w:marTop w:val="0"/>
      <w:marBottom w:val="0"/>
      <w:divBdr>
        <w:top w:val="none" w:sz="0" w:space="0" w:color="auto"/>
        <w:left w:val="none" w:sz="0" w:space="0" w:color="auto"/>
        <w:bottom w:val="none" w:sz="0" w:space="0" w:color="auto"/>
        <w:right w:val="none" w:sz="0" w:space="0" w:color="auto"/>
      </w:divBdr>
      <w:divsChild>
        <w:div w:id="123474537">
          <w:marLeft w:val="0"/>
          <w:marRight w:val="0"/>
          <w:marTop w:val="0"/>
          <w:marBottom w:val="0"/>
          <w:divBdr>
            <w:top w:val="none" w:sz="0" w:space="0" w:color="auto"/>
            <w:left w:val="none" w:sz="0" w:space="0" w:color="auto"/>
            <w:bottom w:val="none" w:sz="0" w:space="0" w:color="auto"/>
            <w:right w:val="none" w:sz="0" w:space="0" w:color="auto"/>
          </w:divBdr>
          <w:divsChild>
            <w:div w:id="123474540">
              <w:marLeft w:val="0"/>
              <w:marRight w:val="0"/>
              <w:marTop w:val="0"/>
              <w:marBottom w:val="0"/>
              <w:divBdr>
                <w:top w:val="none" w:sz="0" w:space="0" w:color="auto"/>
                <w:left w:val="none" w:sz="0" w:space="0" w:color="auto"/>
                <w:bottom w:val="none" w:sz="0" w:space="0" w:color="auto"/>
                <w:right w:val="none" w:sz="0" w:space="0" w:color="auto"/>
              </w:divBdr>
              <w:divsChild>
                <w:div w:id="123474544">
                  <w:marLeft w:val="0"/>
                  <w:marRight w:val="0"/>
                  <w:marTop w:val="0"/>
                  <w:marBottom w:val="0"/>
                  <w:divBdr>
                    <w:top w:val="none" w:sz="0" w:space="0" w:color="auto"/>
                    <w:left w:val="none" w:sz="0" w:space="0" w:color="auto"/>
                    <w:bottom w:val="none" w:sz="0" w:space="0" w:color="auto"/>
                    <w:right w:val="none" w:sz="0" w:space="0" w:color="auto"/>
                  </w:divBdr>
                  <w:divsChild>
                    <w:div w:id="123474545">
                      <w:marLeft w:val="0"/>
                      <w:marRight w:val="0"/>
                      <w:marTop w:val="0"/>
                      <w:marBottom w:val="0"/>
                      <w:divBdr>
                        <w:top w:val="none" w:sz="0" w:space="0" w:color="auto"/>
                        <w:left w:val="none" w:sz="0" w:space="0" w:color="auto"/>
                        <w:bottom w:val="none" w:sz="0" w:space="0" w:color="auto"/>
                        <w:right w:val="none" w:sz="0" w:space="0" w:color="auto"/>
                      </w:divBdr>
                      <w:divsChild>
                        <w:div w:id="123474538">
                          <w:marLeft w:val="0"/>
                          <w:marRight w:val="0"/>
                          <w:marTop w:val="0"/>
                          <w:marBottom w:val="0"/>
                          <w:divBdr>
                            <w:top w:val="none" w:sz="0" w:space="0" w:color="auto"/>
                            <w:left w:val="none" w:sz="0" w:space="0" w:color="auto"/>
                            <w:bottom w:val="none" w:sz="0" w:space="0" w:color="auto"/>
                            <w:right w:val="none" w:sz="0" w:space="0" w:color="auto"/>
                          </w:divBdr>
                          <w:divsChild>
                            <w:div w:id="123474542">
                              <w:marLeft w:val="0"/>
                              <w:marRight w:val="0"/>
                              <w:marTop w:val="0"/>
                              <w:marBottom w:val="0"/>
                              <w:divBdr>
                                <w:top w:val="none" w:sz="0" w:space="0" w:color="auto"/>
                                <w:left w:val="none" w:sz="0" w:space="0" w:color="auto"/>
                                <w:bottom w:val="none" w:sz="0" w:space="0" w:color="auto"/>
                                <w:right w:val="none" w:sz="0" w:space="0" w:color="auto"/>
                              </w:divBdr>
                              <w:divsChild>
                                <w:div w:id="123474539">
                                  <w:marLeft w:val="0"/>
                                  <w:marRight w:val="0"/>
                                  <w:marTop w:val="0"/>
                                  <w:marBottom w:val="0"/>
                                  <w:divBdr>
                                    <w:top w:val="none" w:sz="0" w:space="0" w:color="auto"/>
                                    <w:left w:val="none" w:sz="0" w:space="0" w:color="auto"/>
                                    <w:bottom w:val="none" w:sz="0" w:space="0" w:color="auto"/>
                                    <w:right w:val="none" w:sz="0" w:space="0" w:color="auto"/>
                                  </w:divBdr>
                                  <w:divsChild>
                                    <w:div w:id="12347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474546">
      <w:marLeft w:val="0"/>
      <w:marRight w:val="0"/>
      <w:marTop w:val="0"/>
      <w:marBottom w:val="0"/>
      <w:divBdr>
        <w:top w:val="none" w:sz="0" w:space="0" w:color="auto"/>
        <w:left w:val="none" w:sz="0" w:space="0" w:color="auto"/>
        <w:bottom w:val="none" w:sz="0" w:space="0" w:color="auto"/>
        <w:right w:val="none" w:sz="0" w:space="0" w:color="auto"/>
      </w:divBdr>
    </w:div>
    <w:div w:id="123474551">
      <w:marLeft w:val="0"/>
      <w:marRight w:val="0"/>
      <w:marTop w:val="0"/>
      <w:marBottom w:val="0"/>
      <w:divBdr>
        <w:top w:val="none" w:sz="0" w:space="0" w:color="auto"/>
        <w:left w:val="none" w:sz="0" w:space="0" w:color="auto"/>
        <w:bottom w:val="none" w:sz="0" w:space="0" w:color="auto"/>
        <w:right w:val="none" w:sz="0" w:space="0" w:color="auto"/>
      </w:divBdr>
      <w:divsChild>
        <w:div w:id="123474549">
          <w:marLeft w:val="0"/>
          <w:marRight w:val="0"/>
          <w:marTop w:val="0"/>
          <w:marBottom w:val="0"/>
          <w:divBdr>
            <w:top w:val="none" w:sz="0" w:space="0" w:color="auto"/>
            <w:left w:val="none" w:sz="0" w:space="0" w:color="auto"/>
            <w:bottom w:val="none" w:sz="0" w:space="0" w:color="auto"/>
            <w:right w:val="none" w:sz="0" w:space="0" w:color="auto"/>
          </w:divBdr>
          <w:divsChild>
            <w:div w:id="123474567">
              <w:marLeft w:val="0"/>
              <w:marRight w:val="0"/>
              <w:marTop w:val="0"/>
              <w:marBottom w:val="0"/>
              <w:divBdr>
                <w:top w:val="none" w:sz="0" w:space="0" w:color="auto"/>
                <w:left w:val="none" w:sz="0" w:space="0" w:color="auto"/>
                <w:bottom w:val="none" w:sz="0" w:space="0" w:color="auto"/>
                <w:right w:val="none" w:sz="0" w:space="0" w:color="auto"/>
              </w:divBdr>
              <w:divsChild>
                <w:div w:id="123474556">
                  <w:marLeft w:val="0"/>
                  <w:marRight w:val="0"/>
                  <w:marTop w:val="0"/>
                  <w:marBottom w:val="0"/>
                  <w:divBdr>
                    <w:top w:val="none" w:sz="0" w:space="0" w:color="auto"/>
                    <w:left w:val="none" w:sz="0" w:space="0" w:color="auto"/>
                    <w:bottom w:val="none" w:sz="0" w:space="0" w:color="auto"/>
                    <w:right w:val="none" w:sz="0" w:space="0" w:color="auto"/>
                  </w:divBdr>
                  <w:divsChild>
                    <w:div w:id="123474557">
                      <w:marLeft w:val="0"/>
                      <w:marRight w:val="0"/>
                      <w:marTop w:val="0"/>
                      <w:marBottom w:val="0"/>
                      <w:divBdr>
                        <w:top w:val="none" w:sz="0" w:space="0" w:color="auto"/>
                        <w:left w:val="none" w:sz="0" w:space="0" w:color="auto"/>
                        <w:bottom w:val="none" w:sz="0" w:space="0" w:color="auto"/>
                        <w:right w:val="none" w:sz="0" w:space="0" w:color="auto"/>
                      </w:divBdr>
                      <w:divsChild>
                        <w:div w:id="123474568">
                          <w:marLeft w:val="0"/>
                          <w:marRight w:val="0"/>
                          <w:marTop w:val="0"/>
                          <w:marBottom w:val="0"/>
                          <w:divBdr>
                            <w:top w:val="none" w:sz="0" w:space="0" w:color="auto"/>
                            <w:left w:val="none" w:sz="0" w:space="0" w:color="auto"/>
                            <w:bottom w:val="none" w:sz="0" w:space="0" w:color="auto"/>
                            <w:right w:val="none" w:sz="0" w:space="0" w:color="auto"/>
                          </w:divBdr>
                          <w:divsChild>
                            <w:div w:id="123474585">
                              <w:marLeft w:val="0"/>
                              <w:marRight w:val="0"/>
                              <w:marTop w:val="0"/>
                              <w:marBottom w:val="0"/>
                              <w:divBdr>
                                <w:top w:val="none" w:sz="0" w:space="0" w:color="auto"/>
                                <w:left w:val="none" w:sz="0" w:space="0" w:color="auto"/>
                                <w:bottom w:val="none" w:sz="0" w:space="0" w:color="auto"/>
                                <w:right w:val="none" w:sz="0" w:space="0" w:color="auto"/>
                              </w:divBdr>
                              <w:divsChild>
                                <w:div w:id="123474574">
                                  <w:marLeft w:val="0"/>
                                  <w:marRight w:val="0"/>
                                  <w:marTop w:val="0"/>
                                  <w:marBottom w:val="0"/>
                                  <w:divBdr>
                                    <w:top w:val="none" w:sz="0" w:space="0" w:color="auto"/>
                                    <w:left w:val="none" w:sz="0" w:space="0" w:color="auto"/>
                                    <w:bottom w:val="none" w:sz="0" w:space="0" w:color="auto"/>
                                    <w:right w:val="none" w:sz="0" w:space="0" w:color="auto"/>
                                  </w:divBdr>
                                  <w:divsChild>
                                    <w:div w:id="12347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474559">
      <w:marLeft w:val="0"/>
      <w:marRight w:val="0"/>
      <w:marTop w:val="0"/>
      <w:marBottom w:val="0"/>
      <w:divBdr>
        <w:top w:val="none" w:sz="0" w:space="0" w:color="auto"/>
        <w:left w:val="none" w:sz="0" w:space="0" w:color="auto"/>
        <w:bottom w:val="none" w:sz="0" w:space="0" w:color="auto"/>
        <w:right w:val="none" w:sz="0" w:space="0" w:color="auto"/>
      </w:divBdr>
      <w:divsChild>
        <w:div w:id="123474566">
          <w:marLeft w:val="0"/>
          <w:marRight w:val="0"/>
          <w:marTop w:val="0"/>
          <w:marBottom w:val="0"/>
          <w:divBdr>
            <w:top w:val="none" w:sz="0" w:space="0" w:color="auto"/>
            <w:left w:val="none" w:sz="0" w:space="0" w:color="auto"/>
            <w:bottom w:val="none" w:sz="0" w:space="0" w:color="auto"/>
            <w:right w:val="none" w:sz="0" w:space="0" w:color="auto"/>
          </w:divBdr>
          <w:divsChild>
            <w:div w:id="123474587">
              <w:marLeft w:val="0"/>
              <w:marRight w:val="0"/>
              <w:marTop w:val="0"/>
              <w:marBottom w:val="0"/>
              <w:divBdr>
                <w:top w:val="none" w:sz="0" w:space="0" w:color="auto"/>
                <w:left w:val="none" w:sz="0" w:space="0" w:color="auto"/>
                <w:bottom w:val="none" w:sz="0" w:space="0" w:color="auto"/>
                <w:right w:val="none" w:sz="0" w:space="0" w:color="auto"/>
              </w:divBdr>
              <w:divsChild>
                <w:div w:id="123474552">
                  <w:marLeft w:val="0"/>
                  <w:marRight w:val="0"/>
                  <w:marTop w:val="0"/>
                  <w:marBottom w:val="0"/>
                  <w:divBdr>
                    <w:top w:val="none" w:sz="0" w:space="0" w:color="auto"/>
                    <w:left w:val="none" w:sz="0" w:space="0" w:color="auto"/>
                    <w:bottom w:val="none" w:sz="0" w:space="0" w:color="auto"/>
                    <w:right w:val="none" w:sz="0" w:space="0" w:color="auto"/>
                  </w:divBdr>
                  <w:divsChild>
                    <w:div w:id="123474581">
                      <w:marLeft w:val="0"/>
                      <w:marRight w:val="0"/>
                      <w:marTop w:val="0"/>
                      <w:marBottom w:val="0"/>
                      <w:divBdr>
                        <w:top w:val="none" w:sz="0" w:space="0" w:color="auto"/>
                        <w:left w:val="none" w:sz="0" w:space="0" w:color="auto"/>
                        <w:bottom w:val="none" w:sz="0" w:space="0" w:color="auto"/>
                        <w:right w:val="none" w:sz="0" w:space="0" w:color="auto"/>
                      </w:divBdr>
                      <w:divsChild>
                        <w:div w:id="123474550">
                          <w:marLeft w:val="0"/>
                          <w:marRight w:val="0"/>
                          <w:marTop w:val="0"/>
                          <w:marBottom w:val="0"/>
                          <w:divBdr>
                            <w:top w:val="none" w:sz="0" w:space="0" w:color="auto"/>
                            <w:left w:val="none" w:sz="0" w:space="0" w:color="auto"/>
                            <w:bottom w:val="none" w:sz="0" w:space="0" w:color="auto"/>
                            <w:right w:val="none" w:sz="0" w:space="0" w:color="auto"/>
                          </w:divBdr>
                          <w:divsChild>
                            <w:div w:id="123474554">
                              <w:marLeft w:val="0"/>
                              <w:marRight w:val="0"/>
                              <w:marTop w:val="0"/>
                              <w:marBottom w:val="0"/>
                              <w:divBdr>
                                <w:top w:val="none" w:sz="0" w:space="0" w:color="auto"/>
                                <w:left w:val="none" w:sz="0" w:space="0" w:color="auto"/>
                                <w:bottom w:val="none" w:sz="0" w:space="0" w:color="auto"/>
                                <w:right w:val="none" w:sz="0" w:space="0" w:color="auto"/>
                              </w:divBdr>
                              <w:divsChild>
                                <w:div w:id="12347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474575">
      <w:marLeft w:val="0"/>
      <w:marRight w:val="0"/>
      <w:marTop w:val="0"/>
      <w:marBottom w:val="0"/>
      <w:divBdr>
        <w:top w:val="none" w:sz="0" w:space="0" w:color="auto"/>
        <w:left w:val="none" w:sz="0" w:space="0" w:color="auto"/>
        <w:bottom w:val="none" w:sz="0" w:space="0" w:color="auto"/>
        <w:right w:val="none" w:sz="0" w:space="0" w:color="auto"/>
      </w:divBdr>
      <w:divsChild>
        <w:div w:id="123474553">
          <w:marLeft w:val="0"/>
          <w:marRight w:val="0"/>
          <w:marTop w:val="0"/>
          <w:marBottom w:val="0"/>
          <w:divBdr>
            <w:top w:val="none" w:sz="0" w:space="0" w:color="auto"/>
            <w:left w:val="none" w:sz="0" w:space="0" w:color="auto"/>
            <w:bottom w:val="none" w:sz="0" w:space="0" w:color="auto"/>
            <w:right w:val="none" w:sz="0" w:space="0" w:color="auto"/>
          </w:divBdr>
          <w:divsChild>
            <w:div w:id="123474586">
              <w:marLeft w:val="0"/>
              <w:marRight w:val="0"/>
              <w:marTop w:val="0"/>
              <w:marBottom w:val="0"/>
              <w:divBdr>
                <w:top w:val="none" w:sz="0" w:space="0" w:color="auto"/>
                <w:left w:val="none" w:sz="0" w:space="0" w:color="auto"/>
                <w:bottom w:val="none" w:sz="0" w:space="0" w:color="auto"/>
                <w:right w:val="none" w:sz="0" w:space="0" w:color="auto"/>
              </w:divBdr>
              <w:divsChild>
                <w:div w:id="123474555">
                  <w:marLeft w:val="0"/>
                  <w:marRight w:val="0"/>
                  <w:marTop w:val="0"/>
                  <w:marBottom w:val="0"/>
                  <w:divBdr>
                    <w:top w:val="none" w:sz="0" w:space="0" w:color="auto"/>
                    <w:left w:val="none" w:sz="0" w:space="0" w:color="auto"/>
                    <w:bottom w:val="none" w:sz="0" w:space="0" w:color="auto"/>
                    <w:right w:val="none" w:sz="0" w:space="0" w:color="auto"/>
                  </w:divBdr>
                  <w:divsChild>
                    <w:div w:id="123474569">
                      <w:marLeft w:val="0"/>
                      <w:marRight w:val="0"/>
                      <w:marTop w:val="0"/>
                      <w:marBottom w:val="0"/>
                      <w:divBdr>
                        <w:top w:val="none" w:sz="0" w:space="0" w:color="auto"/>
                        <w:left w:val="none" w:sz="0" w:space="0" w:color="auto"/>
                        <w:bottom w:val="none" w:sz="0" w:space="0" w:color="auto"/>
                        <w:right w:val="none" w:sz="0" w:space="0" w:color="auto"/>
                      </w:divBdr>
                      <w:divsChild>
                        <w:div w:id="123474584">
                          <w:marLeft w:val="0"/>
                          <w:marRight w:val="0"/>
                          <w:marTop w:val="0"/>
                          <w:marBottom w:val="0"/>
                          <w:divBdr>
                            <w:top w:val="none" w:sz="0" w:space="0" w:color="auto"/>
                            <w:left w:val="none" w:sz="0" w:space="0" w:color="auto"/>
                            <w:bottom w:val="none" w:sz="0" w:space="0" w:color="auto"/>
                            <w:right w:val="none" w:sz="0" w:space="0" w:color="auto"/>
                          </w:divBdr>
                          <w:divsChild>
                            <w:div w:id="123474582">
                              <w:marLeft w:val="0"/>
                              <w:marRight w:val="0"/>
                              <w:marTop w:val="0"/>
                              <w:marBottom w:val="0"/>
                              <w:divBdr>
                                <w:top w:val="none" w:sz="0" w:space="0" w:color="auto"/>
                                <w:left w:val="none" w:sz="0" w:space="0" w:color="auto"/>
                                <w:bottom w:val="none" w:sz="0" w:space="0" w:color="auto"/>
                                <w:right w:val="none" w:sz="0" w:space="0" w:color="auto"/>
                              </w:divBdr>
                              <w:divsChild>
                                <w:div w:id="1234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474577">
      <w:marLeft w:val="0"/>
      <w:marRight w:val="0"/>
      <w:marTop w:val="0"/>
      <w:marBottom w:val="0"/>
      <w:divBdr>
        <w:top w:val="none" w:sz="0" w:space="0" w:color="auto"/>
        <w:left w:val="none" w:sz="0" w:space="0" w:color="auto"/>
        <w:bottom w:val="none" w:sz="0" w:space="0" w:color="auto"/>
        <w:right w:val="none" w:sz="0" w:space="0" w:color="auto"/>
      </w:divBdr>
      <w:divsChild>
        <w:div w:id="123474562">
          <w:marLeft w:val="0"/>
          <w:marRight w:val="0"/>
          <w:marTop w:val="0"/>
          <w:marBottom w:val="0"/>
          <w:divBdr>
            <w:top w:val="none" w:sz="0" w:space="0" w:color="auto"/>
            <w:left w:val="none" w:sz="0" w:space="0" w:color="auto"/>
            <w:bottom w:val="none" w:sz="0" w:space="0" w:color="auto"/>
            <w:right w:val="none" w:sz="0" w:space="0" w:color="auto"/>
          </w:divBdr>
          <w:divsChild>
            <w:div w:id="123474578">
              <w:marLeft w:val="0"/>
              <w:marRight w:val="0"/>
              <w:marTop w:val="0"/>
              <w:marBottom w:val="0"/>
              <w:divBdr>
                <w:top w:val="none" w:sz="0" w:space="0" w:color="auto"/>
                <w:left w:val="none" w:sz="0" w:space="0" w:color="auto"/>
                <w:bottom w:val="none" w:sz="0" w:space="0" w:color="auto"/>
                <w:right w:val="none" w:sz="0" w:space="0" w:color="auto"/>
              </w:divBdr>
              <w:divsChild>
                <w:div w:id="123474547">
                  <w:marLeft w:val="0"/>
                  <w:marRight w:val="0"/>
                  <w:marTop w:val="0"/>
                  <w:marBottom w:val="0"/>
                  <w:divBdr>
                    <w:top w:val="none" w:sz="0" w:space="0" w:color="auto"/>
                    <w:left w:val="none" w:sz="0" w:space="0" w:color="auto"/>
                    <w:bottom w:val="none" w:sz="0" w:space="0" w:color="auto"/>
                    <w:right w:val="none" w:sz="0" w:space="0" w:color="auto"/>
                  </w:divBdr>
                  <w:divsChild>
                    <w:div w:id="123474570">
                      <w:marLeft w:val="0"/>
                      <w:marRight w:val="0"/>
                      <w:marTop w:val="0"/>
                      <w:marBottom w:val="0"/>
                      <w:divBdr>
                        <w:top w:val="none" w:sz="0" w:space="0" w:color="auto"/>
                        <w:left w:val="none" w:sz="0" w:space="0" w:color="auto"/>
                        <w:bottom w:val="none" w:sz="0" w:space="0" w:color="auto"/>
                        <w:right w:val="none" w:sz="0" w:space="0" w:color="auto"/>
                      </w:divBdr>
                      <w:divsChild>
                        <w:div w:id="123474560">
                          <w:marLeft w:val="0"/>
                          <w:marRight w:val="0"/>
                          <w:marTop w:val="0"/>
                          <w:marBottom w:val="0"/>
                          <w:divBdr>
                            <w:top w:val="none" w:sz="0" w:space="0" w:color="auto"/>
                            <w:left w:val="none" w:sz="0" w:space="0" w:color="auto"/>
                            <w:bottom w:val="none" w:sz="0" w:space="0" w:color="auto"/>
                            <w:right w:val="none" w:sz="0" w:space="0" w:color="auto"/>
                          </w:divBdr>
                          <w:divsChild>
                            <w:div w:id="123474573">
                              <w:marLeft w:val="0"/>
                              <w:marRight w:val="0"/>
                              <w:marTop w:val="0"/>
                              <w:marBottom w:val="0"/>
                              <w:divBdr>
                                <w:top w:val="none" w:sz="0" w:space="0" w:color="auto"/>
                                <w:left w:val="none" w:sz="0" w:space="0" w:color="auto"/>
                                <w:bottom w:val="none" w:sz="0" w:space="0" w:color="auto"/>
                                <w:right w:val="none" w:sz="0" w:space="0" w:color="auto"/>
                              </w:divBdr>
                              <w:divsChild>
                                <w:div w:id="123474576">
                                  <w:marLeft w:val="0"/>
                                  <w:marRight w:val="0"/>
                                  <w:marTop w:val="0"/>
                                  <w:marBottom w:val="0"/>
                                  <w:divBdr>
                                    <w:top w:val="none" w:sz="0" w:space="0" w:color="auto"/>
                                    <w:left w:val="none" w:sz="0" w:space="0" w:color="auto"/>
                                    <w:bottom w:val="none" w:sz="0" w:space="0" w:color="auto"/>
                                    <w:right w:val="none" w:sz="0" w:space="0" w:color="auto"/>
                                  </w:divBdr>
                                  <w:divsChild>
                                    <w:div w:id="12347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474588">
      <w:marLeft w:val="0"/>
      <w:marRight w:val="0"/>
      <w:marTop w:val="0"/>
      <w:marBottom w:val="0"/>
      <w:divBdr>
        <w:top w:val="none" w:sz="0" w:space="0" w:color="auto"/>
        <w:left w:val="none" w:sz="0" w:space="0" w:color="auto"/>
        <w:bottom w:val="none" w:sz="0" w:space="0" w:color="auto"/>
        <w:right w:val="none" w:sz="0" w:space="0" w:color="auto"/>
      </w:divBdr>
      <w:divsChild>
        <w:div w:id="123474548">
          <w:marLeft w:val="0"/>
          <w:marRight w:val="0"/>
          <w:marTop w:val="0"/>
          <w:marBottom w:val="0"/>
          <w:divBdr>
            <w:top w:val="none" w:sz="0" w:space="0" w:color="auto"/>
            <w:left w:val="none" w:sz="0" w:space="0" w:color="auto"/>
            <w:bottom w:val="none" w:sz="0" w:space="0" w:color="auto"/>
            <w:right w:val="none" w:sz="0" w:space="0" w:color="auto"/>
          </w:divBdr>
          <w:divsChild>
            <w:div w:id="123474579">
              <w:marLeft w:val="0"/>
              <w:marRight w:val="0"/>
              <w:marTop w:val="0"/>
              <w:marBottom w:val="0"/>
              <w:divBdr>
                <w:top w:val="none" w:sz="0" w:space="0" w:color="auto"/>
                <w:left w:val="none" w:sz="0" w:space="0" w:color="auto"/>
                <w:bottom w:val="none" w:sz="0" w:space="0" w:color="auto"/>
                <w:right w:val="none" w:sz="0" w:space="0" w:color="auto"/>
              </w:divBdr>
              <w:divsChild>
                <w:div w:id="123474561">
                  <w:marLeft w:val="0"/>
                  <w:marRight w:val="0"/>
                  <w:marTop w:val="0"/>
                  <w:marBottom w:val="0"/>
                  <w:divBdr>
                    <w:top w:val="none" w:sz="0" w:space="0" w:color="auto"/>
                    <w:left w:val="none" w:sz="0" w:space="0" w:color="auto"/>
                    <w:bottom w:val="none" w:sz="0" w:space="0" w:color="auto"/>
                    <w:right w:val="none" w:sz="0" w:space="0" w:color="auto"/>
                  </w:divBdr>
                  <w:divsChild>
                    <w:div w:id="123474563">
                      <w:marLeft w:val="0"/>
                      <w:marRight w:val="0"/>
                      <w:marTop w:val="0"/>
                      <w:marBottom w:val="0"/>
                      <w:divBdr>
                        <w:top w:val="none" w:sz="0" w:space="0" w:color="auto"/>
                        <w:left w:val="none" w:sz="0" w:space="0" w:color="auto"/>
                        <w:bottom w:val="none" w:sz="0" w:space="0" w:color="auto"/>
                        <w:right w:val="none" w:sz="0" w:space="0" w:color="auto"/>
                      </w:divBdr>
                      <w:divsChild>
                        <w:div w:id="123474583">
                          <w:marLeft w:val="0"/>
                          <w:marRight w:val="0"/>
                          <w:marTop w:val="0"/>
                          <w:marBottom w:val="0"/>
                          <w:divBdr>
                            <w:top w:val="none" w:sz="0" w:space="0" w:color="auto"/>
                            <w:left w:val="none" w:sz="0" w:space="0" w:color="auto"/>
                            <w:bottom w:val="none" w:sz="0" w:space="0" w:color="auto"/>
                            <w:right w:val="none" w:sz="0" w:space="0" w:color="auto"/>
                          </w:divBdr>
                          <w:divsChild>
                            <w:div w:id="123474580">
                              <w:marLeft w:val="0"/>
                              <w:marRight w:val="0"/>
                              <w:marTop w:val="0"/>
                              <w:marBottom w:val="0"/>
                              <w:divBdr>
                                <w:top w:val="none" w:sz="0" w:space="0" w:color="auto"/>
                                <w:left w:val="none" w:sz="0" w:space="0" w:color="auto"/>
                                <w:bottom w:val="none" w:sz="0" w:space="0" w:color="auto"/>
                                <w:right w:val="none" w:sz="0" w:space="0" w:color="auto"/>
                              </w:divBdr>
                              <w:divsChild>
                                <w:div w:id="12347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bnr.ro/page.aspx?prid=399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Pages>
  <Words>830</Words>
  <Characters>4820</Characters>
  <Application>Microsoft Office Outlook</Application>
  <DocSecurity>0</DocSecurity>
  <Lines>0</Lines>
  <Paragraphs>0</Paragraphs>
  <ScaleCrop>false</ScaleCrop>
  <Company>Banca Nationala a Romaniei</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COMUNICAT DE PRESĂ</dc:title>
  <dc:subject/>
  <dc:creator>BNR</dc:creator>
  <cp:keywords/>
  <dc:description/>
  <cp:lastModifiedBy>Mugur Stet</cp:lastModifiedBy>
  <cp:revision>2</cp:revision>
  <cp:lastPrinted>2012-02-02T13:01:00Z</cp:lastPrinted>
  <dcterms:created xsi:type="dcterms:W3CDTF">2012-02-02T13:41:00Z</dcterms:created>
  <dcterms:modified xsi:type="dcterms:W3CDTF">2012-02-02T13:41:00Z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-415312280</vt:i4>
  </property>
</Properties>
</file>