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B21E6" w:rsidRDefault="00E550FC">
      <w:pPr>
        <w:jc w:val="right"/>
      </w:pPr>
      <w:r>
        <w:t>Anexa nr.1</w:t>
      </w:r>
    </w:p>
    <w:p w:rsidR="001B21E6" w:rsidRDefault="00E550FC">
      <w:pPr>
        <w:jc w:val="center"/>
        <w:rPr>
          <w:b/>
        </w:rPr>
      </w:pPr>
      <w:r>
        <w:rPr>
          <w:b/>
        </w:rPr>
        <w:t>Amendamente propuse</w:t>
      </w:r>
    </w:p>
    <w:p w:rsidR="001B21E6" w:rsidRDefault="001B21E6">
      <w:pPr>
        <w:rPr>
          <w:b/>
        </w:rPr>
      </w:pPr>
    </w:p>
    <w:tbl>
      <w:tblPr>
        <w:tblStyle w:val="a"/>
        <w:tblW w:w="151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4819"/>
        <w:gridCol w:w="4820"/>
        <w:gridCol w:w="4820"/>
      </w:tblGrid>
      <w:tr w:rsidR="001B21E6">
        <w:tc>
          <w:tcPr>
            <w:tcW w:w="709" w:type="dxa"/>
          </w:tcPr>
          <w:p w:rsidR="001B21E6" w:rsidRDefault="00E550FC">
            <w:pPr>
              <w:rPr>
                <w:b/>
                <w:sz w:val="24"/>
                <w:szCs w:val="24"/>
              </w:rPr>
            </w:pPr>
            <w:r>
              <w:rPr>
                <w:b/>
                <w:sz w:val="24"/>
                <w:szCs w:val="24"/>
              </w:rPr>
              <w:t>Nr. crt.</w:t>
            </w:r>
          </w:p>
        </w:tc>
        <w:tc>
          <w:tcPr>
            <w:tcW w:w="4819" w:type="dxa"/>
            <w:shd w:val="clear" w:color="auto" w:fill="auto"/>
            <w:vAlign w:val="center"/>
          </w:tcPr>
          <w:p w:rsidR="001B21E6" w:rsidRDefault="00E550FC">
            <w:pPr>
              <w:jc w:val="center"/>
              <w:rPr>
                <w:b/>
                <w:sz w:val="24"/>
                <w:szCs w:val="24"/>
              </w:rPr>
            </w:pPr>
            <w:r>
              <w:rPr>
                <w:b/>
                <w:sz w:val="24"/>
                <w:szCs w:val="24"/>
              </w:rPr>
              <w:t>Text Senat</w:t>
            </w:r>
          </w:p>
        </w:tc>
        <w:tc>
          <w:tcPr>
            <w:tcW w:w="4820" w:type="dxa"/>
            <w:vAlign w:val="center"/>
          </w:tcPr>
          <w:p w:rsidR="001B21E6" w:rsidRDefault="00E550FC">
            <w:pPr>
              <w:jc w:val="center"/>
              <w:rPr>
                <w:b/>
                <w:sz w:val="24"/>
                <w:szCs w:val="24"/>
              </w:rPr>
            </w:pPr>
            <w:r>
              <w:rPr>
                <w:b/>
                <w:sz w:val="24"/>
                <w:szCs w:val="24"/>
              </w:rPr>
              <w:t>Text propus de Comisie</w:t>
            </w:r>
          </w:p>
          <w:p w:rsidR="001B21E6" w:rsidRDefault="00E550FC">
            <w:pPr>
              <w:jc w:val="center"/>
              <w:rPr>
                <w:b/>
                <w:sz w:val="24"/>
                <w:szCs w:val="24"/>
              </w:rPr>
            </w:pPr>
            <w:r>
              <w:rPr>
                <w:b/>
                <w:sz w:val="24"/>
                <w:szCs w:val="24"/>
              </w:rPr>
              <w:t>(autorul amendamentului)</w:t>
            </w:r>
          </w:p>
        </w:tc>
        <w:tc>
          <w:tcPr>
            <w:tcW w:w="4820" w:type="dxa"/>
            <w:vAlign w:val="center"/>
          </w:tcPr>
          <w:p w:rsidR="001B21E6" w:rsidRDefault="00E550FC">
            <w:pPr>
              <w:jc w:val="center"/>
              <w:rPr>
                <w:b/>
                <w:sz w:val="24"/>
                <w:szCs w:val="24"/>
              </w:rPr>
            </w:pPr>
            <w:r>
              <w:rPr>
                <w:b/>
                <w:sz w:val="24"/>
                <w:szCs w:val="24"/>
              </w:rPr>
              <w:t xml:space="preserve">Motivarea </w:t>
            </w:r>
          </w:p>
          <w:p w:rsidR="001B21E6" w:rsidRDefault="00E550FC">
            <w:pPr>
              <w:jc w:val="center"/>
              <w:rPr>
                <w:b/>
                <w:sz w:val="24"/>
                <w:szCs w:val="24"/>
              </w:rPr>
            </w:pPr>
            <w:r>
              <w:rPr>
                <w:b/>
                <w:sz w:val="24"/>
                <w:szCs w:val="24"/>
              </w:rPr>
              <w:t>amendamentelor propuse</w:t>
            </w:r>
          </w:p>
        </w:tc>
      </w:tr>
      <w:tr w:rsidR="001B21E6">
        <w:tc>
          <w:tcPr>
            <w:tcW w:w="709" w:type="dxa"/>
          </w:tcPr>
          <w:p w:rsidR="001B21E6" w:rsidRDefault="001B21E6">
            <w:pPr>
              <w:numPr>
                <w:ilvl w:val="0"/>
                <w:numId w:val="1"/>
              </w:numPr>
              <w:ind w:left="0" w:right="-2093" w:firstLine="0"/>
              <w:jc w:val="both"/>
            </w:pPr>
          </w:p>
        </w:tc>
        <w:tc>
          <w:tcPr>
            <w:tcW w:w="4819" w:type="dxa"/>
            <w:shd w:val="clear" w:color="auto" w:fill="auto"/>
          </w:tcPr>
          <w:p w:rsidR="001B21E6" w:rsidRDefault="00E550FC">
            <w:pPr>
              <w:jc w:val="center"/>
              <w:rPr>
                <w:b/>
                <w:sz w:val="24"/>
                <w:szCs w:val="24"/>
              </w:rPr>
            </w:pPr>
            <w:r>
              <w:rPr>
                <w:b/>
                <w:sz w:val="24"/>
                <w:szCs w:val="24"/>
              </w:rPr>
              <w:t>L E G E A</w:t>
            </w:r>
          </w:p>
          <w:p w:rsidR="001B21E6" w:rsidRDefault="00E550FC">
            <w:pPr>
              <w:jc w:val="center"/>
              <w:rPr>
                <w:b/>
                <w:sz w:val="24"/>
                <w:szCs w:val="24"/>
              </w:rPr>
            </w:pPr>
            <w:r>
              <w:rPr>
                <w:b/>
                <w:sz w:val="24"/>
                <w:szCs w:val="24"/>
              </w:rPr>
              <w:t>pentru completarea Legii nr.227/2015 privind Codul fiscal</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rPr>
                <w:sz w:val="24"/>
                <w:szCs w:val="24"/>
              </w:rPr>
            </w:pPr>
          </w:p>
        </w:tc>
      </w:tr>
      <w:tr w:rsidR="001B21E6">
        <w:tc>
          <w:tcPr>
            <w:tcW w:w="709" w:type="dxa"/>
            <w:tcBorders>
              <w:bottom w:val="single" w:sz="4" w:space="0" w:color="000000"/>
            </w:tcBorders>
          </w:tcPr>
          <w:p w:rsidR="001B21E6" w:rsidRDefault="001B21E6">
            <w:pPr>
              <w:numPr>
                <w:ilvl w:val="0"/>
                <w:numId w:val="1"/>
              </w:numPr>
              <w:ind w:left="0" w:firstLine="0"/>
              <w:jc w:val="both"/>
            </w:pPr>
          </w:p>
        </w:tc>
        <w:tc>
          <w:tcPr>
            <w:tcW w:w="4819" w:type="dxa"/>
            <w:tcBorders>
              <w:bottom w:val="single" w:sz="4" w:space="0" w:color="000000"/>
            </w:tcBorders>
            <w:shd w:val="clear" w:color="auto" w:fill="auto"/>
          </w:tcPr>
          <w:p w:rsidR="001B21E6" w:rsidRDefault="00E550FC">
            <w:pPr>
              <w:jc w:val="both"/>
              <w:rPr>
                <w:sz w:val="24"/>
                <w:szCs w:val="24"/>
              </w:rPr>
            </w:pPr>
            <w:proofErr w:type="spellStart"/>
            <w:r>
              <w:rPr>
                <w:b/>
                <w:sz w:val="24"/>
                <w:szCs w:val="24"/>
              </w:rPr>
              <w:t>Art.I</w:t>
            </w:r>
            <w:proofErr w:type="spellEnd"/>
            <w:r>
              <w:rPr>
                <w:b/>
                <w:sz w:val="24"/>
                <w:szCs w:val="24"/>
              </w:rPr>
              <w:t>.-</w:t>
            </w:r>
            <w:r>
              <w:rPr>
                <w:sz w:val="24"/>
                <w:szCs w:val="24"/>
              </w:rPr>
              <w:tab/>
            </w:r>
            <w:r>
              <w:rPr>
                <w:sz w:val="24"/>
                <w:szCs w:val="24"/>
              </w:rPr>
              <w:t xml:space="preserve">Legea nr.227/2015 privind Codul fiscal, publicată în Monitorul Oficial al României, Partea I, nr.688 din 10 septembrie 2015, cu modificările </w:t>
            </w:r>
            <w:proofErr w:type="spellStart"/>
            <w:r>
              <w:rPr>
                <w:sz w:val="24"/>
                <w:szCs w:val="24"/>
              </w:rPr>
              <w:t>şi</w:t>
            </w:r>
            <w:proofErr w:type="spellEnd"/>
            <w:r>
              <w:rPr>
                <w:sz w:val="24"/>
                <w:szCs w:val="24"/>
              </w:rPr>
              <w:t xml:space="preserve"> completările ulterioare, se completează după cum urmează:</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rPr>
                <w:sz w:val="24"/>
                <w:szCs w:val="24"/>
              </w:rPr>
            </w:pPr>
          </w:p>
        </w:tc>
      </w:tr>
      <w:tr w:rsidR="001B21E6">
        <w:trPr>
          <w:trHeight w:val="220"/>
        </w:trPr>
        <w:tc>
          <w:tcPr>
            <w:tcW w:w="709" w:type="dxa"/>
            <w:tcBorders>
              <w:bottom w:val="nil"/>
            </w:tcBorders>
          </w:tcPr>
          <w:p w:rsidR="001B21E6" w:rsidRDefault="001B21E6">
            <w:pPr>
              <w:numPr>
                <w:ilvl w:val="0"/>
                <w:numId w:val="1"/>
              </w:numPr>
              <w:ind w:left="0" w:firstLine="0"/>
              <w:jc w:val="both"/>
            </w:pPr>
          </w:p>
        </w:tc>
        <w:tc>
          <w:tcPr>
            <w:tcW w:w="4819" w:type="dxa"/>
            <w:tcBorders>
              <w:bottom w:val="nil"/>
            </w:tcBorders>
            <w:shd w:val="clear" w:color="auto" w:fill="auto"/>
          </w:tcPr>
          <w:p w:rsidR="001B21E6" w:rsidRDefault="00E550FC">
            <w:pPr>
              <w:jc w:val="both"/>
              <w:rPr>
                <w:b/>
                <w:sz w:val="24"/>
                <w:szCs w:val="24"/>
              </w:rPr>
            </w:pPr>
            <w:r>
              <w:rPr>
                <w:b/>
                <w:sz w:val="24"/>
                <w:szCs w:val="24"/>
              </w:rPr>
              <w:t xml:space="preserve">1. La articolul 2 alineatul (1), după litera i) se introduce o nouă literă, </w:t>
            </w:r>
            <w:proofErr w:type="spellStart"/>
            <w:r>
              <w:rPr>
                <w:b/>
                <w:sz w:val="24"/>
                <w:szCs w:val="24"/>
              </w:rPr>
              <w:t>lit.j</w:t>
            </w:r>
            <w:proofErr w:type="spellEnd"/>
            <w:r>
              <w:rPr>
                <w:b/>
                <w:sz w:val="24"/>
                <w:szCs w:val="24"/>
              </w:rPr>
              <w:t>), cu următorul cuprins:</w:t>
            </w:r>
          </w:p>
        </w:tc>
        <w:tc>
          <w:tcPr>
            <w:tcW w:w="4820" w:type="dxa"/>
            <w:vMerge w:val="restart"/>
          </w:tcPr>
          <w:p w:rsidR="001B21E6" w:rsidRDefault="00E550FC">
            <w:pPr>
              <w:jc w:val="both"/>
              <w:rPr>
                <w:color w:val="FF0000"/>
                <w:sz w:val="24"/>
                <w:szCs w:val="24"/>
              </w:rPr>
            </w:pPr>
            <w:r>
              <w:rPr>
                <w:sz w:val="24"/>
                <w:szCs w:val="24"/>
              </w:rPr>
              <w:t>Nemodificat</w:t>
            </w:r>
          </w:p>
        </w:tc>
        <w:tc>
          <w:tcPr>
            <w:tcW w:w="4820" w:type="dxa"/>
            <w:vMerge w:val="restart"/>
          </w:tcPr>
          <w:p w:rsidR="001B21E6" w:rsidRDefault="001B21E6">
            <w:pPr>
              <w:rPr>
                <w:sz w:val="24"/>
                <w:szCs w:val="24"/>
              </w:rPr>
            </w:pPr>
          </w:p>
        </w:tc>
      </w:tr>
      <w:tr w:rsidR="001B21E6">
        <w:trPr>
          <w:trHeight w:val="220"/>
        </w:trPr>
        <w:tc>
          <w:tcPr>
            <w:tcW w:w="709" w:type="dxa"/>
            <w:tcBorders>
              <w:top w:val="nil"/>
              <w:bottom w:val="single" w:sz="4" w:space="0" w:color="000000"/>
            </w:tcBorders>
          </w:tcPr>
          <w:p w:rsidR="001B21E6" w:rsidRDefault="001B21E6">
            <w:pPr>
              <w:numPr>
                <w:ilvl w:val="0"/>
                <w:numId w:val="1"/>
              </w:numPr>
              <w:ind w:left="0" w:firstLine="0"/>
              <w:jc w:val="both"/>
            </w:pPr>
          </w:p>
        </w:tc>
        <w:tc>
          <w:tcPr>
            <w:tcW w:w="4819" w:type="dxa"/>
            <w:tcBorders>
              <w:top w:val="nil"/>
              <w:bottom w:val="single" w:sz="4" w:space="0" w:color="000000"/>
            </w:tcBorders>
            <w:shd w:val="clear" w:color="auto" w:fill="auto"/>
          </w:tcPr>
          <w:p w:rsidR="001B21E6" w:rsidRDefault="00E550FC">
            <w:pPr>
              <w:jc w:val="both"/>
              <w:rPr>
                <w:sz w:val="24"/>
                <w:szCs w:val="24"/>
              </w:rPr>
            </w:pPr>
            <w:r>
              <w:rPr>
                <w:sz w:val="24"/>
                <w:szCs w:val="24"/>
              </w:rPr>
              <w:t xml:space="preserve">„j) taxa pe veniturile din pensii </w:t>
            </w:r>
            <w:proofErr w:type="spellStart"/>
            <w:r>
              <w:rPr>
                <w:sz w:val="24"/>
                <w:szCs w:val="24"/>
              </w:rPr>
              <w:t>şi</w:t>
            </w:r>
            <w:proofErr w:type="spellEnd"/>
            <w:r>
              <w:rPr>
                <w:sz w:val="24"/>
                <w:szCs w:val="24"/>
              </w:rPr>
              <w:t xml:space="preserve"> </w:t>
            </w:r>
            <w:proofErr w:type="spellStart"/>
            <w:r>
              <w:rPr>
                <w:sz w:val="24"/>
                <w:szCs w:val="24"/>
              </w:rPr>
              <w:t>indemnizaţii</w:t>
            </w:r>
            <w:proofErr w:type="spellEnd"/>
            <w:r>
              <w:rPr>
                <w:sz w:val="24"/>
                <w:szCs w:val="24"/>
              </w:rPr>
              <w:t xml:space="preserve"> pentru limită de vârstă.”</w:t>
            </w:r>
          </w:p>
        </w:tc>
        <w:tc>
          <w:tcPr>
            <w:tcW w:w="4820" w:type="dxa"/>
            <w:vMerge/>
          </w:tcPr>
          <w:p w:rsidR="001B21E6" w:rsidRDefault="001B21E6">
            <w:pPr>
              <w:widowControl w:val="0"/>
              <w:pBdr>
                <w:top w:val="nil"/>
                <w:left w:val="nil"/>
                <w:bottom w:val="nil"/>
                <w:right w:val="nil"/>
                <w:between w:val="nil"/>
              </w:pBdr>
              <w:spacing w:line="276" w:lineRule="auto"/>
              <w:rPr>
                <w:sz w:val="24"/>
                <w:szCs w:val="24"/>
              </w:rPr>
            </w:pPr>
          </w:p>
        </w:tc>
        <w:tc>
          <w:tcPr>
            <w:tcW w:w="4820" w:type="dxa"/>
            <w:vMerge/>
          </w:tcPr>
          <w:p w:rsidR="001B21E6" w:rsidRDefault="001B21E6">
            <w:pPr>
              <w:widowControl w:val="0"/>
              <w:pBdr>
                <w:top w:val="nil"/>
                <w:left w:val="nil"/>
                <w:bottom w:val="nil"/>
                <w:right w:val="nil"/>
                <w:between w:val="nil"/>
              </w:pBdr>
              <w:spacing w:line="276" w:lineRule="auto"/>
              <w:rPr>
                <w:sz w:val="24"/>
                <w:szCs w:val="24"/>
              </w:rPr>
            </w:pPr>
          </w:p>
        </w:tc>
      </w:tr>
      <w:tr w:rsidR="001B21E6">
        <w:tc>
          <w:tcPr>
            <w:tcW w:w="709" w:type="dxa"/>
            <w:tcBorders>
              <w:bottom w:val="nil"/>
            </w:tcBorders>
          </w:tcPr>
          <w:p w:rsidR="001B21E6" w:rsidRDefault="001B21E6">
            <w:pPr>
              <w:numPr>
                <w:ilvl w:val="0"/>
                <w:numId w:val="1"/>
              </w:numPr>
              <w:ind w:left="0" w:firstLine="0"/>
              <w:jc w:val="both"/>
            </w:pPr>
          </w:p>
        </w:tc>
        <w:tc>
          <w:tcPr>
            <w:tcW w:w="4819" w:type="dxa"/>
            <w:tcBorders>
              <w:bottom w:val="single" w:sz="4" w:space="0" w:color="000000"/>
            </w:tcBorders>
            <w:shd w:val="clear" w:color="auto" w:fill="auto"/>
          </w:tcPr>
          <w:p w:rsidR="001B21E6" w:rsidRDefault="00E550FC">
            <w:pPr>
              <w:jc w:val="both"/>
              <w:rPr>
                <w:b/>
                <w:sz w:val="24"/>
                <w:szCs w:val="24"/>
              </w:rPr>
            </w:pPr>
            <w:r>
              <w:rPr>
                <w:b/>
                <w:sz w:val="24"/>
                <w:szCs w:val="24"/>
              </w:rPr>
              <w:t>2. După  Titlul IV  „</w:t>
            </w:r>
            <w:r>
              <w:rPr>
                <w:b/>
                <w:i/>
                <w:sz w:val="24"/>
                <w:szCs w:val="24"/>
              </w:rPr>
              <w:t>Impozitul pe venit</w:t>
            </w:r>
            <w:r>
              <w:rPr>
                <w:b/>
                <w:sz w:val="24"/>
                <w:szCs w:val="24"/>
              </w:rPr>
              <w:t>”  se  introduce  un  nou titlu, Titlul IV</w:t>
            </w:r>
            <w:r>
              <w:rPr>
                <w:b/>
                <w:sz w:val="24"/>
                <w:szCs w:val="24"/>
                <w:vertAlign w:val="superscript"/>
              </w:rPr>
              <w:t>1</w:t>
            </w:r>
            <w:r>
              <w:rPr>
                <w:b/>
                <w:sz w:val="24"/>
                <w:szCs w:val="24"/>
              </w:rPr>
              <w:t xml:space="preserve"> „</w:t>
            </w:r>
            <w:r>
              <w:rPr>
                <w:b/>
                <w:i/>
                <w:sz w:val="24"/>
                <w:szCs w:val="24"/>
              </w:rPr>
              <w:t xml:space="preserve">Taxa pe veniturile din pensii </w:t>
            </w:r>
            <w:proofErr w:type="spellStart"/>
            <w:r>
              <w:rPr>
                <w:b/>
                <w:i/>
                <w:sz w:val="24"/>
                <w:szCs w:val="24"/>
              </w:rPr>
              <w:t>şi</w:t>
            </w:r>
            <w:proofErr w:type="spellEnd"/>
            <w:r>
              <w:rPr>
                <w:b/>
                <w:i/>
                <w:sz w:val="24"/>
                <w:szCs w:val="24"/>
              </w:rPr>
              <w:t xml:space="preserve"> </w:t>
            </w:r>
            <w:proofErr w:type="spellStart"/>
            <w:r>
              <w:rPr>
                <w:b/>
                <w:i/>
                <w:sz w:val="24"/>
                <w:szCs w:val="24"/>
              </w:rPr>
              <w:t>indemnizaţii</w:t>
            </w:r>
            <w:proofErr w:type="spellEnd"/>
            <w:r>
              <w:rPr>
                <w:b/>
                <w:i/>
                <w:sz w:val="24"/>
                <w:szCs w:val="24"/>
              </w:rPr>
              <w:t xml:space="preserve"> pentru limită de vârstă</w:t>
            </w:r>
            <w:r>
              <w:rPr>
                <w:b/>
                <w:sz w:val="24"/>
                <w:szCs w:val="24"/>
              </w:rPr>
              <w:t>” cuprinzând articolele 134</w:t>
            </w:r>
            <w:r>
              <w:rPr>
                <w:b/>
                <w:sz w:val="24"/>
                <w:szCs w:val="24"/>
                <w:vertAlign w:val="superscript"/>
              </w:rPr>
              <w:t>1</w:t>
            </w:r>
            <w:r>
              <w:rPr>
                <w:b/>
                <w:sz w:val="24"/>
                <w:szCs w:val="24"/>
              </w:rPr>
              <w:t xml:space="preserve"> - 134</w:t>
            </w:r>
            <w:r>
              <w:rPr>
                <w:b/>
                <w:sz w:val="24"/>
                <w:szCs w:val="24"/>
                <w:vertAlign w:val="superscript"/>
              </w:rPr>
              <w:t>4</w:t>
            </w:r>
            <w:r>
              <w:rPr>
                <w:b/>
                <w:sz w:val="24"/>
                <w:szCs w:val="24"/>
              </w:rPr>
              <w:t>, cu următorul cuprins:</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rPr>
                <w:sz w:val="24"/>
                <w:szCs w:val="24"/>
              </w:rPr>
            </w:pPr>
          </w:p>
        </w:tc>
      </w:tr>
      <w:tr w:rsidR="001B21E6">
        <w:tc>
          <w:tcPr>
            <w:tcW w:w="709" w:type="dxa"/>
            <w:tcBorders>
              <w:top w:val="nil"/>
            </w:tcBorders>
          </w:tcPr>
          <w:p w:rsidR="001B21E6" w:rsidRDefault="001B21E6">
            <w:pPr>
              <w:numPr>
                <w:ilvl w:val="0"/>
                <w:numId w:val="1"/>
              </w:numPr>
              <w:ind w:left="0" w:firstLine="0"/>
              <w:jc w:val="both"/>
            </w:pPr>
          </w:p>
        </w:tc>
        <w:tc>
          <w:tcPr>
            <w:tcW w:w="4819" w:type="dxa"/>
            <w:tcBorders>
              <w:top w:val="single" w:sz="4" w:space="0" w:color="000000"/>
            </w:tcBorders>
            <w:shd w:val="clear" w:color="auto" w:fill="auto"/>
          </w:tcPr>
          <w:p w:rsidR="001B21E6" w:rsidRDefault="00E550FC">
            <w:pPr>
              <w:jc w:val="both"/>
              <w:rPr>
                <w:b/>
                <w:sz w:val="24"/>
                <w:szCs w:val="24"/>
              </w:rPr>
            </w:pPr>
            <w:r>
              <w:rPr>
                <w:b/>
                <w:sz w:val="24"/>
                <w:szCs w:val="24"/>
              </w:rPr>
              <w:t>„Titlul IV</w:t>
            </w:r>
            <w:r>
              <w:rPr>
                <w:b/>
                <w:sz w:val="24"/>
                <w:szCs w:val="24"/>
                <w:vertAlign w:val="superscript"/>
              </w:rPr>
              <w:t>1</w:t>
            </w:r>
            <w:r>
              <w:rPr>
                <w:b/>
                <w:sz w:val="24"/>
                <w:szCs w:val="24"/>
              </w:rPr>
              <w:t xml:space="preserve"> - Taxa pe veniturile din pensii </w:t>
            </w:r>
            <w:proofErr w:type="spellStart"/>
            <w:r>
              <w:rPr>
                <w:b/>
                <w:sz w:val="24"/>
                <w:szCs w:val="24"/>
              </w:rPr>
              <w:t>şi</w:t>
            </w:r>
            <w:proofErr w:type="spellEnd"/>
            <w:r>
              <w:rPr>
                <w:b/>
                <w:sz w:val="24"/>
                <w:szCs w:val="24"/>
              </w:rPr>
              <w:t xml:space="preserve"> </w:t>
            </w:r>
            <w:proofErr w:type="spellStart"/>
            <w:r>
              <w:rPr>
                <w:b/>
                <w:sz w:val="24"/>
                <w:szCs w:val="24"/>
              </w:rPr>
              <w:t>indemnizaţii</w:t>
            </w:r>
            <w:proofErr w:type="spellEnd"/>
            <w:r>
              <w:rPr>
                <w:b/>
                <w:sz w:val="24"/>
                <w:szCs w:val="24"/>
              </w:rPr>
              <w:t xml:space="preserve"> pentru limită de vârstă</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jc w:val="both"/>
              <w:rPr>
                <w:b/>
                <w:sz w:val="24"/>
                <w:szCs w:val="24"/>
              </w:rPr>
            </w:pPr>
            <w:r>
              <w:rPr>
                <w:b/>
                <w:sz w:val="24"/>
                <w:szCs w:val="24"/>
              </w:rPr>
              <w:t>Art.134</w:t>
            </w:r>
            <w:r>
              <w:rPr>
                <w:b/>
                <w:sz w:val="24"/>
                <w:szCs w:val="24"/>
                <w:vertAlign w:val="superscript"/>
              </w:rPr>
              <w:t>1</w:t>
            </w:r>
            <w:r>
              <w:rPr>
                <w:b/>
                <w:sz w:val="24"/>
                <w:szCs w:val="24"/>
              </w:rPr>
              <w:t>.- Categoria de contribuabili și sfera de cuprindere a taxei pe veniturile din pensii și indemnizații pentru limită de vârstă</w:t>
            </w:r>
          </w:p>
        </w:tc>
        <w:tc>
          <w:tcPr>
            <w:tcW w:w="4820" w:type="dxa"/>
          </w:tcPr>
          <w:p w:rsidR="001B21E6" w:rsidRDefault="00E550FC">
            <w:pPr>
              <w:jc w:val="both"/>
              <w:rPr>
                <w:color w:val="FF0000"/>
                <w:sz w:val="24"/>
                <w:szCs w:val="24"/>
              </w:rPr>
            </w:pPr>
            <w:r>
              <w:rPr>
                <w:sz w:val="24"/>
                <w:szCs w:val="24"/>
              </w:rPr>
              <w:t>Nemodificat</w:t>
            </w:r>
          </w:p>
        </w:tc>
        <w:tc>
          <w:tcPr>
            <w:tcW w:w="4820" w:type="dxa"/>
          </w:tcPr>
          <w:p w:rsidR="001B21E6" w:rsidRDefault="001B21E6">
            <w:pPr>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jc w:val="both"/>
              <w:rPr>
                <w:sz w:val="24"/>
                <w:szCs w:val="24"/>
              </w:rPr>
            </w:pPr>
            <w:r>
              <w:rPr>
                <w:sz w:val="24"/>
                <w:szCs w:val="24"/>
              </w:rPr>
              <w:t>(1) Persoanele fizice care realizează venituri din pensii și/sau indemnizații pentru limită de vârstă, primite în baza unor legi/statute speciale denumite în continuare contribuabili, sunt obligate la plata taxei pe veniturile din pensii și indemnizații pe</w:t>
            </w:r>
            <w:r>
              <w:rPr>
                <w:sz w:val="24"/>
                <w:szCs w:val="24"/>
              </w:rPr>
              <w:t xml:space="preserve">ntru limită de vârstă, denumită în </w:t>
            </w:r>
            <w:r>
              <w:rPr>
                <w:sz w:val="24"/>
                <w:szCs w:val="24"/>
              </w:rPr>
              <w:lastRenderedPageBreak/>
              <w:t xml:space="preserve">continuare taxă, </w:t>
            </w:r>
            <w:r>
              <w:rPr>
                <w:b/>
                <w:sz w:val="24"/>
                <w:szCs w:val="24"/>
              </w:rPr>
              <w:t xml:space="preserve">cu respectarea principiului </w:t>
            </w:r>
            <w:proofErr w:type="spellStart"/>
            <w:r>
              <w:rPr>
                <w:b/>
                <w:sz w:val="24"/>
                <w:szCs w:val="24"/>
              </w:rPr>
              <w:t>contributivității</w:t>
            </w:r>
            <w:proofErr w:type="spellEnd"/>
            <w:r>
              <w:rPr>
                <w:b/>
                <w:sz w:val="24"/>
                <w:szCs w:val="24"/>
              </w:rPr>
              <w:t xml:space="preserve">, așa cum este definit la art.2 </w:t>
            </w:r>
            <w:proofErr w:type="spellStart"/>
            <w:r>
              <w:rPr>
                <w:b/>
                <w:sz w:val="24"/>
                <w:szCs w:val="24"/>
              </w:rPr>
              <w:t>lit.c</w:t>
            </w:r>
            <w:proofErr w:type="spellEnd"/>
            <w:r>
              <w:rPr>
                <w:b/>
                <w:sz w:val="24"/>
                <w:szCs w:val="24"/>
              </w:rPr>
              <w:t>) din Legea nr.263/2010 privind sistemul unitar de pensii publice, cu modificările și completările ulterioare.</w:t>
            </w:r>
          </w:p>
        </w:tc>
        <w:tc>
          <w:tcPr>
            <w:tcW w:w="4820" w:type="dxa"/>
          </w:tcPr>
          <w:p w:rsidR="001B21E6" w:rsidRDefault="00E550FC">
            <w:pPr>
              <w:jc w:val="both"/>
              <w:rPr>
                <w:sz w:val="24"/>
                <w:szCs w:val="24"/>
              </w:rPr>
            </w:pPr>
            <w:r>
              <w:rPr>
                <w:sz w:val="24"/>
                <w:szCs w:val="24"/>
              </w:rPr>
              <w:lastRenderedPageBreak/>
              <w:t>Nemodificat</w:t>
            </w:r>
          </w:p>
        </w:tc>
        <w:tc>
          <w:tcPr>
            <w:tcW w:w="4820" w:type="dxa"/>
          </w:tcPr>
          <w:p w:rsidR="001B21E6" w:rsidRDefault="001B21E6">
            <w:pPr>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jc w:val="both"/>
              <w:rPr>
                <w:sz w:val="24"/>
                <w:szCs w:val="24"/>
              </w:rPr>
            </w:pPr>
            <w:r>
              <w:rPr>
                <w:sz w:val="24"/>
                <w:szCs w:val="24"/>
              </w:rPr>
              <w:t>(2) Taxa este datorată numai în situația în care venitul lunar din pensie și/sau indemnizație pentru limită de vârstă, de la unul sau mai mulți plătitori, după caz, din care se deduce impozitul pe venit aferent stabilit potrivit prevederilor Titlului I</w:t>
            </w:r>
            <w:r>
              <w:rPr>
                <w:sz w:val="24"/>
                <w:szCs w:val="24"/>
              </w:rPr>
              <w:t xml:space="preserve">V, este mai mare decât suma netaxabilă </w:t>
            </w:r>
            <w:r>
              <w:rPr>
                <w:b/>
                <w:sz w:val="24"/>
                <w:szCs w:val="24"/>
              </w:rPr>
              <w:t xml:space="preserve">de 7.000 lei, lunar. </w:t>
            </w:r>
            <w:r>
              <w:rPr>
                <w:sz w:val="24"/>
                <w:szCs w:val="24"/>
              </w:rPr>
              <w:t xml:space="preserve">În situația în care, ca urmare a aplicării principiului </w:t>
            </w:r>
            <w:proofErr w:type="spellStart"/>
            <w:r>
              <w:rPr>
                <w:sz w:val="24"/>
                <w:szCs w:val="24"/>
              </w:rPr>
              <w:t>contributivității</w:t>
            </w:r>
            <w:proofErr w:type="spellEnd"/>
            <w:r>
              <w:rPr>
                <w:sz w:val="24"/>
                <w:szCs w:val="24"/>
              </w:rPr>
              <w:t xml:space="preserve">, cuantumul pensiei din sistemul public depășește </w:t>
            </w:r>
            <w:r>
              <w:rPr>
                <w:b/>
                <w:sz w:val="24"/>
                <w:szCs w:val="24"/>
              </w:rPr>
              <w:t>plafonul de 7.000 lei,</w:t>
            </w:r>
            <w:r>
              <w:rPr>
                <w:sz w:val="24"/>
                <w:szCs w:val="24"/>
              </w:rPr>
              <w:t xml:space="preserve"> suma netaxabilă reprezintă nivelul acestui cuantum</w:t>
            </w:r>
            <w:r>
              <w:rPr>
                <w:sz w:val="24"/>
                <w:szCs w:val="24"/>
              </w:rPr>
              <w:t xml:space="preserve">.  </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jc w:val="both"/>
              <w:rPr>
                <w:sz w:val="24"/>
                <w:szCs w:val="24"/>
              </w:rPr>
            </w:pPr>
            <w:r>
              <w:rPr>
                <w:sz w:val="24"/>
                <w:szCs w:val="24"/>
              </w:rPr>
              <w:t>(2) Taxa este datorată numai în situația în care venitul lunar din pensie și/sau indemnizație pentru limită de vârstă, de la unul sau mai mulți plătitori, după caz, din care se deduce impozitul pe venit aferent stabilit potrivit preveder</w:t>
            </w:r>
            <w:r>
              <w:rPr>
                <w:sz w:val="24"/>
                <w:szCs w:val="24"/>
              </w:rPr>
              <w:t xml:space="preserve">ilor Titlului IV, este mai mare decât suma netaxabilă de 7.000 lei, lunar. În situația în care, ca urmare a aplicării principiului </w:t>
            </w:r>
            <w:proofErr w:type="spellStart"/>
            <w:r>
              <w:rPr>
                <w:sz w:val="24"/>
                <w:szCs w:val="24"/>
              </w:rPr>
              <w:t>contributivității</w:t>
            </w:r>
            <w:proofErr w:type="spellEnd"/>
            <w:r>
              <w:rPr>
                <w:sz w:val="24"/>
                <w:szCs w:val="24"/>
              </w:rPr>
              <w:t xml:space="preserve">, cuantumul pensiei din sistemul public depășește plafonul de 7.000 lei, suma netaxabilă reprezintă nivelul </w:t>
            </w:r>
            <w:r>
              <w:rPr>
                <w:sz w:val="24"/>
                <w:szCs w:val="24"/>
              </w:rPr>
              <w:t>acestui cuantum.</w:t>
            </w:r>
          </w:p>
        </w:tc>
        <w:tc>
          <w:tcPr>
            <w:tcW w:w="4820" w:type="dxa"/>
          </w:tcPr>
          <w:p w:rsidR="001B21E6" w:rsidRDefault="00E550FC">
            <w:pPr>
              <w:pBdr>
                <w:top w:val="nil"/>
                <w:left w:val="nil"/>
                <w:bottom w:val="nil"/>
                <w:right w:val="nil"/>
                <w:between w:val="nil"/>
              </w:pBdr>
              <w:ind w:hanging="720"/>
              <w:jc w:val="both"/>
              <w:rPr>
                <w:b/>
                <w:color w:val="000000"/>
                <w:sz w:val="24"/>
                <w:szCs w:val="24"/>
              </w:rPr>
            </w:pPr>
            <w:r>
              <w:rPr>
                <w:color w:val="000000"/>
                <w:sz w:val="24"/>
                <w:szCs w:val="24"/>
              </w:rPr>
              <w:t>Nemodificat</w:t>
            </w:r>
          </w:p>
        </w:tc>
        <w:tc>
          <w:tcPr>
            <w:tcW w:w="4820" w:type="dxa"/>
          </w:tcPr>
          <w:p w:rsidR="001B21E6" w:rsidRDefault="001B21E6">
            <w:pPr>
              <w:jc w:val="both"/>
              <w:rPr>
                <w:sz w:val="24"/>
                <w:szCs w:val="24"/>
              </w:rPr>
            </w:pPr>
          </w:p>
        </w:tc>
      </w:tr>
      <w:tr w:rsidR="001B21E6">
        <w:tc>
          <w:tcPr>
            <w:tcW w:w="709" w:type="dxa"/>
            <w:tcBorders>
              <w:bottom w:val="nil"/>
            </w:tcBorders>
          </w:tcPr>
          <w:p w:rsidR="001B21E6" w:rsidRDefault="001B21E6">
            <w:pPr>
              <w:numPr>
                <w:ilvl w:val="0"/>
                <w:numId w:val="1"/>
              </w:numPr>
              <w:ind w:left="0" w:firstLine="0"/>
              <w:jc w:val="both"/>
            </w:pPr>
          </w:p>
        </w:tc>
        <w:tc>
          <w:tcPr>
            <w:tcW w:w="4819" w:type="dxa"/>
            <w:tcBorders>
              <w:bottom w:val="nil"/>
            </w:tcBorders>
            <w:shd w:val="clear" w:color="auto" w:fill="auto"/>
          </w:tcPr>
          <w:p w:rsidR="001B21E6" w:rsidRDefault="00E550FC">
            <w:pPr>
              <w:jc w:val="both"/>
              <w:rPr>
                <w:sz w:val="24"/>
                <w:szCs w:val="24"/>
              </w:rPr>
            </w:pPr>
            <w:r>
              <w:rPr>
                <w:sz w:val="24"/>
                <w:szCs w:val="24"/>
              </w:rPr>
              <w:t xml:space="preserve">(3) În </w:t>
            </w:r>
            <w:proofErr w:type="spellStart"/>
            <w:r>
              <w:rPr>
                <w:sz w:val="24"/>
                <w:szCs w:val="24"/>
              </w:rPr>
              <w:t>înţelesul</w:t>
            </w:r>
            <w:proofErr w:type="spellEnd"/>
            <w:r>
              <w:rPr>
                <w:sz w:val="24"/>
                <w:szCs w:val="24"/>
              </w:rPr>
              <w:t xml:space="preserve"> prezentului titlu, veniturile pentru care se datorează taxa reprezintă sume primite în baza următoarelor legi/statute speciale:</w:t>
            </w:r>
          </w:p>
        </w:tc>
        <w:tc>
          <w:tcPr>
            <w:tcW w:w="4820" w:type="dxa"/>
            <w:tcBorders>
              <w:bottom w:val="nil"/>
            </w:tcBorders>
          </w:tcPr>
          <w:p w:rsidR="001B21E6" w:rsidRDefault="00E550FC">
            <w:pPr>
              <w:rPr>
                <w:sz w:val="24"/>
                <w:szCs w:val="24"/>
              </w:rPr>
            </w:pPr>
            <w:r>
              <w:rPr>
                <w:sz w:val="24"/>
                <w:szCs w:val="24"/>
              </w:rPr>
              <w:t>Nemodificat</w:t>
            </w:r>
          </w:p>
        </w:tc>
        <w:tc>
          <w:tcPr>
            <w:tcW w:w="4820" w:type="dxa"/>
            <w:tcBorders>
              <w:bottom w:val="nil"/>
            </w:tcBorders>
          </w:tcPr>
          <w:p w:rsidR="001B21E6" w:rsidRDefault="001B21E6">
            <w:pPr>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a) pensia de serviciu prevăzută de Legea nr.94/1992 privind organizarea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funcţionarea</w:t>
            </w:r>
            <w:proofErr w:type="spellEnd"/>
            <w:r>
              <w:rPr>
                <w:color w:val="000000"/>
                <w:sz w:val="24"/>
                <w:szCs w:val="24"/>
              </w:rPr>
              <w:t xml:space="preserve"> </w:t>
            </w:r>
            <w:proofErr w:type="spellStart"/>
            <w:r>
              <w:rPr>
                <w:color w:val="000000"/>
                <w:sz w:val="24"/>
                <w:szCs w:val="24"/>
              </w:rPr>
              <w:lastRenderedPageBreak/>
              <w:t>Curţii</w:t>
            </w:r>
            <w:proofErr w:type="spellEnd"/>
            <w:r>
              <w:rPr>
                <w:color w:val="000000"/>
                <w:sz w:val="24"/>
                <w:szCs w:val="24"/>
              </w:rPr>
              <w:t xml:space="preserve"> de Conturi, republicată, cu modificările </w:t>
            </w:r>
            <w:proofErr w:type="spellStart"/>
            <w:r>
              <w:rPr>
                <w:color w:val="000000"/>
                <w:sz w:val="24"/>
                <w:szCs w:val="24"/>
              </w:rPr>
              <w:t>şi</w:t>
            </w:r>
            <w:proofErr w:type="spellEnd"/>
            <w:r>
              <w:rPr>
                <w:color w:val="000000"/>
                <w:sz w:val="24"/>
                <w:szCs w:val="24"/>
              </w:rPr>
              <w:t xml:space="preserve"> completările ulterioare;</w:t>
            </w:r>
          </w:p>
        </w:tc>
        <w:tc>
          <w:tcPr>
            <w:tcW w:w="4820" w:type="dxa"/>
          </w:tcPr>
          <w:p w:rsidR="001B21E6" w:rsidRDefault="00E550FC">
            <w:pPr>
              <w:rPr>
                <w:sz w:val="24"/>
                <w:szCs w:val="24"/>
              </w:rPr>
            </w:pPr>
            <w:r>
              <w:rPr>
                <w:sz w:val="24"/>
                <w:szCs w:val="24"/>
              </w:rPr>
              <w:lastRenderedPageBreak/>
              <w:t>Nemodificat</w:t>
            </w:r>
          </w:p>
        </w:tc>
        <w:tc>
          <w:tcPr>
            <w:tcW w:w="4820" w:type="dxa"/>
          </w:tcPr>
          <w:p w:rsidR="001B21E6" w:rsidRDefault="001B21E6">
            <w:pPr>
              <w:jc w:val="both"/>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b) pensia de serviciu prevăzută de Legea nr.47/1992 privind organizarea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funcţionarea</w:t>
            </w:r>
            <w:proofErr w:type="spellEnd"/>
            <w:r>
              <w:rPr>
                <w:color w:val="000000"/>
                <w:sz w:val="24"/>
                <w:szCs w:val="24"/>
              </w:rPr>
              <w:t xml:space="preserve"> </w:t>
            </w:r>
            <w:proofErr w:type="spellStart"/>
            <w:r>
              <w:rPr>
                <w:color w:val="000000"/>
                <w:sz w:val="24"/>
                <w:szCs w:val="24"/>
              </w:rPr>
              <w:t>Curţii</w:t>
            </w:r>
            <w:proofErr w:type="spellEnd"/>
            <w:r>
              <w:rPr>
                <w:color w:val="000000"/>
                <w:sz w:val="24"/>
                <w:szCs w:val="24"/>
              </w:rPr>
              <w:t xml:space="preserve"> </w:t>
            </w:r>
            <w:proofErr w:type="spellStart"/>
            <w:r>
              <w:rPr>
                <w:color w:val="000000"/>
                <w:sz w:val="24"/>
                <w:szCs w:val="24"/>
              </w:rPr>
              <w:t>Constituţionale</w:t>
            </w:r>
            <w:proofErr w:type="spellEnd"/>
            <w:r>
              <w:rPr>
                <w:color w:val="000000"/>
                <w:sz w:val="24"/>
                <w:szCs w:val="24"/>
              </w:rPr>
              <w:t xml:space="preserve">, republicată, cu modificările </w:t>
            </w:r>
            <w:proofErr w:type="spellStart"/>
            <w:r>
              <w:rPr>
                <w:color w:val="000000"/>
                <w:sz w:val="24"/>
                <w:szCs w:val="24"/>
              </w:rPr>
              <w:t>şi</w:t>
            </w:r>
            <w:proofErr w:type="spellEnd"/>
            <w:r>
              <w:rPr>
                <w:color w:val="000000"/>
                <w:sz w:val="24"/>
                <w:szCs w:val="24"/>
              </w:rPr>
              <w:t xml:space="preserve"> completările ulterioare;</w:t>
            </w:r>
          </w:p>
        </w:tc>
        <w:tc>
          <w:tcPr>
            <w:tcW w:w="4820" w:type="dxa"/>
          </w:tcPr>
          <w:p w:rsidR="001B21E6" w:rsidRDefault="00E550FC">
            <w:pPr>
              <w:jc w:val="both"/>
              <w:rPr>
                <w:color w:val="FF0000"/>
                <w:sz w:val="24"/>
                <w:szCs w:val="24"/>
              </w:rPr>
            </w:pPr>
            <w:r>
              <w:rPr>
                <w:sz w:val="24"/>
                <w:szCs w:val="24"/>
              </w:rPr>
              <w:t>Nemodificat</w:t>
            </w:r>
          </w:p>
        </w:tc>
        <w:tc>
          <w:tcPr>
            <w:tcW w:w="4820" w:type="dxa"/>
          </w:tcPr>
          <w:p w:rsidR="001B21E6" w:rsidRDefault="001B21E6">
            <w:pPr>
              <w:jc w:val="both"/>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c) pensia de serviciu prevăzută de Legea nr.303/2004 privind statutul ju</w:t>
            </w:r>
            <w:r>
              <w:rPr>
                <w:color w:val="000000"/>
                <w:sz w:val="24"/>
                <w:szCs w:val="24"/>
              </w:rPr>
              <w:t xml:space="preserve">decătorilor </w:t>
            </w:r>
            <w:proofErr w:type="spellStart"/>
            <w:r>
              <w:rPr>
                <w:color w:val="000000"/>
                <w:sz w:val="24"/>
                <w:szCs w:val="24"/>
              </w:rPr>
              <w:t>şi</w:t>
            </w:r>
            <w:proofErr w:type="spellEnd"/>
            <w:r>
              <w:rPr>
                <w:color w:val="000000"/>
                <w:sz w:val="24"/>
                <w:szCs w:val="24"/>
              </w:rPr>
              <w:t xml:space="preserve"> procurorilor, republicată, cu modificările </w:t>
            </w:r>
            <w:proofErr w:type="spellStart"/>
            <w:r>
              <w:rPr>
                <w:color w:val="000000"/>
                <w:sz w:val="24"/>
                <w:szCs w:val="24"/>
              </w:rPr>
              <w:t>şi</w:t>
            </w:r>
            <w:proofErr w:type="spellEnd"/>
            <w:r>
              <w:rPr>
                <w:color w:val="000000"/>
                <w:sz w:val="24"/>
                <w:szCs w:val="24"/>
              </w:rPr>
              <w:t xml:space="preserve"> completările ulterioare;</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d) pensia de serviciu prevăzută de Legea nr.567/2004 privind statutul personalului auxiliar de specialitate al </w:t>
            </w:r>
            <w:proofErr w:type="spellStart"/>
            <w:r>
              <w:rPr>
                <w:color w:val="000000"/>
                <w:sz w:val="24"/>
                <w:szCs w:val="24"/>
              </w:rPr>
              <w:t>instanţelor</w:t>
            </w:r>
            <w:proofErr w:type="spellEnd"/>
            <w:r>
              <w:rPr>
                <w:color w:val="000000"/>
                <w:sz w:val="24"/>
                <w:szCs w:val="24"/>
              </w:rPr>
              <w:t xml:space="preserve"> </w:t>
            </w:r>
            <w:proofErr w:type="spellStart"/>
            <w:r>
              <w:rPr>
                <w:color w:val="000000"/>
                <w:sz w:val="24"/>
                <w:szCs w:val="24"/>
              </w:rPr>
              <w:t>judecătoreşti</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al parchetelor de pe lângă acestea </w:t>
            </w:r>
            <w:proofErr w:type="spellStart"/>
            <w:r>
              <w:rPr>
                <w:color w:val="000000"/>
                <w:sz w:val="24"/>
                <w:szCs w:val="24"/>
              </w:rPr>
              <w:t>şi</w:t>
            </w:r>
            <w:proofErr w:type="spellEnd"/>
            <w:r>
              <w:rPr>
                <w:color w:val="000000"/>
                <w:sz w:val="24"/>
                <w:szCs w:val="24"/>
              </w:rPr>
              <w:t xml:space="preserve"> al personalului care </w:t>
            </w:r>
            <w:proofErr w:type="spellStart"/>
            <w:r>
              <w:rPr>
                <w:color w:val="000000"/>
                <w:sz w:val="24"/>
                <w:szCs w:val="24"/>
              </w:rPr>
              <w:t>funcţionează</w:t>
            </w:r>
            <w:proofErr w:type="spellEnd"/>
            <w:r>
              <w:rPr>
                <w:color w:val="000000"/>
                <w:sz w:val="24"/>
                <w:szCs w:val="24"/>
              </w:rPr>
              <w:t xml:space="preserve"> în cadrul Institutului Național de Expertize</w:t>
            </w:r>
            <w:r>
              <w:rPr>
                <w:color w:val="000000"/>
                <w:sz w:val="24"/>
                <w:szCs w:val="24"/>
              </w:rPr>
              <w:t xml:space="preserve"> Criminalistice, cu modificările </w:t>
            </w:r>
            <w:proofErr w:type="spellStart"/>
            <w:r>
              <w:rPr>
                <w:color w:val="000000"/>
                <w:sz w:val="24"/>
                <w:szCs w:val="24"/>
              </w:rPr>
              <w:t>şi</w:t>
            </w:r>
            <w:proofErr w:type="spellEnd"/>
            <w:r>
              <w:rPr>
                <w:color w:val="000000"/>
                <w:sz w:val="24"/>
                <w:szCs w:val="24"/>
              </w:rPr>
              <w:t xml:space="preserve"> completările ulterioare;</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rPr>
                <w:sz w:val="24"/>
                <w:szCs w:val="24"/>
              </w:rPr>
            </w:pPr>
          </w:p>
        </w:tc>
      </w:tr>
      <w:tr w:rsidR="001B21E6">
        <w:tc>
          <w:tcPr>
            <w:tcW w:w="709" w:type="dxa"/>
            <w:tcBorders>
              <w:bottom w:val="nil"/>
            </w:tcBorders>
          </w:tcPr>
          <w:p w:rsidR="001B21E6" w:rsidRDefault="001B21E6">
            <w:pPr>
              <w:numPr>
                <w:ilvl w:val="0"/>
                <w:numId w:val="1"/>
              </w:numPr>
              <w:ind w:left="0" w:firstLine="0"/>
              <w:jc w:val="both"/>
            </w:pPr>
          </w:p>
        </w:tc>
        <w:tc>
          <w:tcPr>
            <w:tcW w:w="4819" w:type="dxa"/>
            <w:tcBorders>
              <w:bottom w:val="nil"/>
            </w:tcBorders>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e) pensia de serviciu prevăzută de Legea nr.7/2006 privind statutul </w:t>
            </w:r>
            <w:proofErr w:type="spellStart"/>
            <w:r>
              <w:rPr>
                <w:color w:val="000000"/>
                <w:sz w:val="24"/>
                <w:szCs w:val="24"/>
              </w:rPr>
              <w:t>funcţionarului</w:t>
            </w:r>
            <w:proofErr w:type="spellEnd"/>
            <w:r>
              <w:rPr>
                <w:color w:val="000000"/>
                <w:sz w:val="24"/>
                <w:szCs w:val="24"/>
              </w:rPr>
              <w:t xml:space="preserve"> public parlamentar, republicată, cu modificările </w:t>
            </w:r>
            <w:proofErr w:type="spellStart"/>
            <w:r>
              <w:rPr>
                <w:color w:val="000000"/>
                <w:sz w:val="24"/>
                <w:szCs w:val="24"/>
              </w:rPr>
              <w:t>şi</w:t>
            </w:r>
            <w:proofErr w:type="spellEnd"/>
            <w:r>
              <w:rPr>
                <w:color w:val="000000"/>
                <w:sz w:val="24"/>
                <w:szCs w:val="24"/>
              </w:rPr>
              <w:t xml:space="preserve"> completările ulterioare;</w:t>
            </w:r>
          </w:p>
        </w:tc>
        <w:tc>
          <w:tcPr>
            <w:tcW w:w="4820" w:type="dxa"/>
            <w:tcBorders>
              <w:bottom w:val="nil"/>
            </w:tcBorders>
          </w:tcPr>
          <w:p w:rsidR="001B21E6" w:rsidRDefault="00E550FC">
            <w:pPr>
              <w:jc w:val="both"/>
              <w:rPr>
                <w:color w:val="FF0000"/>
                <w:sz w:val="24"/>
                <w:szCs w:val="24"/>
              </w:rPr>
            </w:pPr>
            <w:r>
              <w:rPr>
                <w:sz w:val="24"/>
                <w:szCs w:val="24"/>
              </w:rPr>
              <w:t>Nemodificat</w:t>
            </w:r>
          </w:p>
        </w:tc>
        <w:tc>
          <w:tcPr>
            <w:tcW w:w="4820" w:type="dxa"/>
            <w:tcBorders>
              <w:bottom w:val="nil"/>
            </w:tcBorders>
          </w:tcPr>
          <w:p w:rsidR="001B21E6" w:rsidRDefault="001B21E6">
            <w:pPr>
              <w:rPr>
                <w:sz w:val="24"/>
                <w:szCs w:val="24"/>
              </w:rPr>
            </w:pPr>
          </w:p>
        </w:tc>
      </w:tr>
      <w:tr w:rsidR="001B21E6">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f) </w:t>
            </w:r>
            <w:proofErr w:type="spellStart"/>
            <w:r>
              <w:rPr>
                <w:color w:val="000000"/>
                <w:sz w:val="24"/>
                <w:szCs w:val="24"/>
              </w:rPr>
              <w:t>indemnizaţia</w:t>
            </w:r>
            <w:proofErr w:type="spellEnd"/>
            <w:r>
              <w:rPr>
                <w:color w:val="000000"/>
                <w:sz w:val="24"/>
                <w:szCs w:val="24"/>
              </w:rPr>
              <w:t xml:space="preserve"> pentru limită de vârstă prevăzută de Legea nr.96/2006 privind Statutul </w:t>
            </w:r>
            <w:proofErr w:type="spellStart"/>
            <w:r>
              <w:rPr>
                <w:color w:val="000000"/>
                <w:sz w:val="24"/>
                <w:szCs w:val="24"/>
              </w:rPr>
              <w:t>deputaţilor</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al senatorilor, republicată, cu modificările </w:t>
            </w:r>
            <w:proofErr w:type="spellStart"/>
            <w:r>
              <w:rPr>
                <w:color w:val="000000"/>
                <w:sz w:val="24"/>
                <w:szCs w:val="24"/>
              </w:rPr>
              <w:t>şi</w:t>
            </w:r>
            <w:proofErr w:type="spellEnd"/>
            <w:r>
              <w:rPr>
                <w:color w:val="000000"/>
                <w:sz w:val="24"/>
                <w:szCs w:val="24"/>
              </w:rPr>
              <w:t xml:space="preserve"> completările ulterioare;</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g) pensia de serviciu prevăzută de Legea nr.223/2007 privind Statutul personalului aeronautic civil navigant profesionist din </w:t>
            </w:r>
            <w:proofErr w:type="spellStart"/>
            <w:r>
              <w:rPr>
                <w:color w:val="000000"/>
                <w:sz w:val="24"/>
                <w:szCs w:val="24"/>
              </w:rPr>
              <w:t>aviaţia</w:t>
            </w:r>
            <w:proofErr w:type="spellEnd"/>
            <w:r>
              <w:rPr>
                <w:color w:val="000000"/>
                <w:sz w:val="24"/>
                <w:szCs w:val="24"/>
              </w:rPr>
              <w:t xml:space="preserve"> </w:t>
            </w:r>
            <w:r>
              <w:rPr>
                <w:color w:val="000000"/>
                <w:sz w:val="24"/>
                <w:szCs w:val="24"/>
              </w:rPr>
              <w:lastRenderedPageBreak/>
              <w:t xml:space="preserve">civilă din România, cu modificările </w:t>
            </w:r>
            <w:proofErr w:type="spellStart"/>
            <w:r>
              <w:rPr>
                <w:color w:val="000000"/>
                <w:sz w:val="24"/>
                <w:szCs w:val="24"/>
              </w:rPr>
              <w:t>şi</w:t>
            </w:r>
            <w:proofErr w:type="spellEnd"/>
            <w:r>
              <w:rPr>
                <w:color w:val="000000"/>
                <w:sz w:val="24"/>
                <w:szCs w:val="24"/>
              </w:rPr>
              <w:t xml:space="preserve"> completările ulterioare;</w:t>
            </w:r>
          </w:p>
        </w:tc>
        <w:tc>
          <w:tcPr>
            <w:tcW w:w="4820" w:type="dxa"/>
          </w:tcPr>
          <w:p w:rsidR="001B21E6" w:rsidRDefault="00E550FC">
            <w:pPr>
              <w:rPr>
                <w:sz w:val="24"/>
                <w:szCs w:val="24"/>
              </w:rPr>
            </w:pPr>
            <w:r>
              <w:rPr>
                <w:sz w:val="24"/>
                <w:szCs w:val="24"/>
              </w:rPr>
              <w:lastRenderedPageBreak/>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h) pensia de serviciu prevăzută de Legea nr.216/2015 privind acordarea pensiei de serviciu membrilor Corpului diplomatic </w:t>
            </w:r>
            <w:proofErr w:type="spellStart"/>
            <w:r>
              <w:rPr>
                <w:color w:val="000000"/>
                <w:sz w:val="24"/>
                <w:szCs w:val="24"/>
              </w:rPr>
              <w:t>şi</w:t>
            </w:r>
            <w:proofErr w:type="spellEnd"/>
            <w:r>
              <w:rPr>
                <w:color w:val="000000"/>
                <w:sz w:val="24"/>
                <w:szCs w:val="24"/>
              </w:rPr>
              <w:t xml:space="preserve"> consular al României, cu modificările ulterioare;</w:t>
            </w:r>
          </w:p>
        </w:tc>
        <w:tc>
          <w:tcPr>
            <w:tcW w:w="4820" w:type="dxa"/>
          </w:tcPr>
          <w:p w:rsidR="001B21E6" w:rsidRDefault="00E550FC">
            <w:pPr>
              <w:jc w:val="both"/>
              <w:rPr>
                <w:color w:val="FF0000"/>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i) pensii militare prevăzute de Legea nr.223/2015 privind pensiile </w:t>
            </w:r>
            <w:r>
              <w:rPr>
                <w:color w:val="000000"/>
                <w:sz w:val="24"/>
                <w:szCs w:val="24"/>
              </w:rPr>
              <w:t xml:space="preserve">militare de stat, cu modificările </w:t>
            </w:r>
            <w:proofErr w:type="spellStart"/>
            <w:r>
              <w:rPr>
                <w:color w:val="000000"/>
                <w:sz w:val="24"/>
                <w:szCs w:val="24"/>
              </w:rPr>
              <w:t>şi</w:t>
            </w:r>
            <w:proofErr w:type="spellEnd"/>
            <w:r>
              <w:rPr>
                <w:color w:val="000000"/>
                <w:sz w:val="24"/>
                <w:szCs w:val="24"/>
              </w:rPr>
              <w:t xml:space="preserve"> completările ulterioare;</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j) </w:t>
            </w:r>
            <w:proofErr w:type="spellStart"/>
            <w:r>
              <w:rPr>
                <w:color w:val="000000"/>
                <w:sz w:val="24"/>
                <w:szCs w:val="24"/>
              </w:rPr>
              <w:t>indemnizaţia</w:t>
            </w:r>
            <w:proofErr w:type="spellEnd"/>
            <w:r>
              <w:rPr>
                <w:color w:val="000000"/>
                <w:sz w:val="24"/>
                <w:szCs w:val="24"/>
              </w:rPr>
              <w:t xml:space="preserve"> pentru limită de vârstă prevăzută de </w:t>
            </w:r>
            <w:proofErr w:type="spellStart"/>
            <w:r>
              <w:rPr>
                <w:color w:val="000000"/>
                <w:sz w:val="24"/>
                <w:szCs w:val="24"/>
              </w:rPr>
              <w:t>Ordonanţa</w:t>
            </w:r>
            <w:proofErr w:type="spellEnd"/>
            <w:r>
              <w:rPr>
                <w:color w:val="000000"/>
                <w:sz w:val="24"/>
                <w:szCs w:val="24"/>
              </w:rPr>
              <w:t xml:space="preserve"> de </w:t>
            </w:r>
            <w:proofErr w:type="spellStart"/>
            <w:r>
              <w:rPr>
                <w:color w:val="000000"/>
                <w:sz w:val="24"/>
                <w:szCs w:val="24"/>
              </w:rPr>
              <w:t>urgenţă</w:t>
            </w:r>
            <w:proofErr w:type="spellEnd"/>
            <w:r>
              <w:rPr>
                <w:color w:val="000000"/>
                <w:sz w:val="24"/>
                <w:szCs w:val="24"/>
              </w:rPr>
              <w:t xml:space="preserve"> a Guvernului nr.57/2019 privind Codul administrativ, cu completările ulterioare;</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jc w:val="both"/>
              <w:rPr>
                <w:sz w:val="24"/>
                <w:szCs w:val="24"/>
              </w:rPr>
            </w:pPr>
            <w:r>
              <w:rPr>
                <w:color w:val="000000"/>
                <w:sz w:val="24"/>
                <w:szCs w:val="24"/>
              </w:rPr>
              <w:t xml:space="preserve">k) </w:t>
            </w:r>
            <w:proofErr w:type="spellStart"/>
            <w:r>
              <w:rPr>
                <w:color w:val="000000"/>
                <w:sz w:val="24"/>
                <w:szCs w:val="24"/>
              </w:rPr>
              <w:t>indemnizaţia</w:t>
            </w:r>
            <w:proofErr w:type="spellEnd"/>
            <w:r>
              <w:rPr>
                <w:color w:val="000000"/>
                <w:sz w:val="24"/>
                <w:szCs w:val="24"/>
              </w:rPr>
              <w:t xml:space="preserve"> lunară acordată persoanelor care au avut calitatea de </w:t>
            </w:r>
            <w:proofErr w:type="spellStart"/>
            <w:r>
              <w:rPr>
                <w:color w:val="000000"/>
                <w:sz w:val="24"/>
                <w:szCs w:val="24"/>
              </w:rPr>
              <w:t>şef</w:t>
            </w:r>
            <w:proofErr w:type="spellEnd"/>
            <w:r>
              <w:rPr>
                <w:color w:val="000000"/>
                <w:sz w:val="24"/>
                <w:szCs w:val="24"/>
              </w:rPr>
              <w:t xml:space="preserve"> al statului român prevăzută de Legea nr.406/2001 privind acordarea unor drepturi persoanelor care au avut calitatea de șef al statului român, cu modificările și completările ulterioa</w:t>
            </w:r>
            <w:r>
              <w:rPr>
                <w:color w:val="000000"/>
                <w:sz w:val="24"/>
                <w:szCs w:val="24"/>
              </w:rPr>
              <w:t>re.</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jc w:val="both"/>
              <w:rPr>
                <w:b/>
                <w:color w:val="000000"/>
                <w:sz w:val="24"/>
                <w:szCs w:val="24"/>
              </w:rPr>
            </w:pPr>
            <w:r>
              <w:rPr>
                <w:b/>
                <w:color w:val="000000"/>
                <w:sz w:val="24"/>
                <w:szCs w:val="24"/>
              </w:rPr>
              <w:t>Art.134</w:t>
            </w:r>
            <w:r>
              <w:rPr>
                <w:b/>
                <w:color w:val="000000"/>
                <w:sz w:val="24"/>
                <w:szCs w:val="24"/>
                <w:vertAlign w:val="superscript"/>
              </w:rPr>
              <w:t>2</w:t>
            </w:r>
            <w:r>
              <w:rPr>
                <w:b/>
                <w:color w:val="000000"/>
                <w:sz w:val="24"/>
                <w:szCs w:val="24"/>
              </w:rPr>
              <w:t xml:space="preserve">.- Stabilirea bazei de calcul din pensii </w:t>
            </w:r>
            <w:proofErr w:type="spellStart"/>
            <w:r>
              <w:rPr>
                <w:b/>
                <w:color w:val="000000"/>
                <w:sz w:val="24"/>
                <w:szCs w:val="24"/>
              </w:rPr>
              <w:t>şi</w:t>
            </w:r>
            <w:proofErr w:type="spellEnd"/>
            <w:r>
              <w:rPr>
                <w:b/>
                <w:color w:val="000000"/>
                <w:sz w:val="24"/>
                <w:szCs w:val="24"/>
              </w:rPr>
              <w:t xml:space="preserve"> </w:t>
            </w:r>
            <w:proofErr w:type="spellStart"/>
            <w:r>
              <w:rPr>
                <w:b/>
                <w:color w:val="000000"/>
                <w:sz w:val="24"/>
                <w:szCs w:val="24"/>
              </w:rPr>
              <w:t>indemnizaţii</w:t>
            </w:r>
            <w:proofErr w:type="spellEnd"/>
            <w:r>
              <w:rPr>
                <w:b/>
                <w:color w:val="000000"/>
                <w:sz w:val="24"/>
                <w:szCs w:val="24"/>
              </w:rPr>
              <w:t xml:space="preserve"> pentru limită de vârstă</w:t>
            </w:r>
          </w:p>
        </w:tc>
        <w:tc>
          <w:tcPr>
            <w:tcW w:w="4820" w:type="dxa"/>
          </w:tcPr>
          <w:p w:rsidR="001B21E6" w:rsidRDefault="00E550FC">
            <w:pPr>
              <w:jc w:val="both"/>
              <w:rPr>
                <w:color w:val="FF0000"/>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(1) Baza de calcul, denumită venitul lunar taxabil, se determină prin deducerea din venitul din pensie sau </w:t>
            </w:r>
            <w:proofErr w:type="spellStart"/>
            <w:r>
              <w:rPr>
                <w:color w:val="000000"/>
                <w:sz w:val="24"/>
                <w:szCs w:val="24"/>
              </w:rPr>
              <w:t>indemnizaţie</w:t>
            </w:r>
            <w:proofErr w:type="spellEnd"/>
            <w:r>
              <w:rPr>
                <w:color w:val="000000"/>
                <w:sz w:val="24"/>
                <w:szCs w:val="24"/>
              </w:rPr>
              <w:t xml:space="preserve"> pentru limită de vârstă, a impozitului pe venit aferent, stabilit potrivit prevederilor Titlului IV. </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(2) În cazul contri</w:t>
            </w:r>
            <w:r>
              <w:rPr>
                <w:color w:val="000000"/>
                <w:sz w:val="24"/>
                <w:szCs w:val="24"/>
              </w:rPr>
              <w:t>buabililor care realizează venituri de la mai mulți plătitori, dintre cele prevăzute la art.134</w:t>
            </w:r>
            <w:r>
              <w:rPr>
                <w:color w:val="000000"/>
                <w:sz w:val="24"/>
                <w:szCs w:val="24"/>
                <w:vertAlign w:val="superscript"/>
              </w:rPr>
              <w:t>1</w:t>
            </w:r>
            <w:r>
              <w:rPr>
                <w:color w:val="000000"/>
                <w:sz w:val="24"/>
                <w:szCs w:val="24"/>
              </w:rPr>
              <w:t xml:space="preserve"> alin.(3), venitul lunar taxabil se determină prin deducerea din </w:t>
            </w:r>
            <w:r>
              <w:rPr>
                <w:color w:val="000000"/>
                <w:sz w:val="24"/>
                <w:szCs w:val="24"/>
              </w:rPr>
              <w:lastRenderedPageBreak/>
              <w:t>veniturile lunare cumulate din pensie și/sau indemnizație pentru limită de vârstă, a impozitulu</w:t>
            </w:r>
            <w:r>
              <w:rPr>
                <w:color w:val="000000"/>
                <w:sz w:val="24"/>
                <w:szCs w:val="24"/>
              </w:rPr>
              <w:t>i pe venit aferent calculat și reținut, de către fiecare plătitor de venit, potrivit prevederilor Titlului IV.</w:t>
            </w:r>
          </w:p>
        </w:tc>
        <w:tc>
          <w:tcPr>
            <w:tcW w:w="4820" w:type="dxa"/>
          </w:tcPr>
          <w:p w:rsidR="001B21E6" w:rsidRDefault="00E550FC">
            <w:pPr>
              <w:rPr>
                <w:sz w:val="24"/>
                <w:szCs w:val="24"/>
              </w:rPr>
            </w:pPr>
            <w:r>
              <w:rPr>
                <w:sz w:val="24"/>
                <w:szCs w:val="24"/>
              </w:rPr>
              <w:lastRenderedPageBreak/>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(3) În cazul contribuabililor care realizează lunar venituri cumulate, de la mai </w:t>
            </w:r>
            <w:proofErr w:type="spellStart"/>
            <w:r>
              <w:rPr>
                <w:color w:val="000000"/>
                <w:sz w:val="24"/>
                <w:szCs w:val="24"/>
              </w:rPr>
              <w:t>mulţi</w:t>
            </w:r>
            <w:proofErr w:type="spellEnd"/>
            <w:r>
              <w:rPr>
                <w:color w:val="000000"/>
                <w:sz w:val="24"/>
                <w:szCs w:val="24"/>
              </w:rPr>
              <w:t xml:space="preserve"> plătitori, în vederea stabilirii venitului lunar taxabil în </w:t>
            </w:r>
            <w:proofErr w:type="spellStart"/>
            <w:r>
              <w:rPr>
                <w:color w:val="000000"/>
                <w:sz w:val="24"/>
                <w:szCs w:val="24"/>
              </w:rPr>
              <w:t>situaţia</w:t>
            </w:r>
            <w:proofErr w:type="spellEnd"/>
            <w:r>
              <w:rPr>
                <w:color w:val="000000"/>
                <w:sz w:val="24"/>
                <w:szCs w:val="24"/>
              </w:rPr>
              <w:t xml:space="preserve"> prevăzută la alin.(2), contribuabilii au </w:t>
            </w:r>
            <w:proofErr w:type="spellStart"/>
            <w:r>
              <w:rPr>
                <w:color w:val="000000"/>
                <w:sz w:val="24"/>
                <w:szCs w:val="24"/>
              </w:rPr>
              <w:t>obligaţia</w:t>
            </w:r>
            <w:proofErr w:type="spellEnd"/>
            <w:r>
              <w:rPr>
                <w:color w:val="000000"/>
                <w:sz w:val="24"/>
                <w:szCs w:val="24"/>
              </w:rPr>
              <w:t xml:space="preserve"> de a depune o </w:t>
            </w:r>
            <w:proofErr w:type="spellStart"/>
            <w:r>
              <w:rPr>
                <w:color w:val="000000"/>
                <w:sz w:val="24"/>
                <w:szCs w:val="24"/>
              </w:rPr>
              <w:t>declaraţie</w:t>
            </w:r>
            <w:proofErr w:type="spellEnd"/>
            <w:r>
              <w:rPr>
                <w:color w:val="000000"/>
                <w:sz w:val="24"/>
                <w:szCs w:val="24"/>
              </w:rPr>
              <w:t xml:space="preserve"> pe proprie răspundere, a</w:t>
            </w:r>
            <w:r>
              <w:rPr>
                <w:color w:val="000000"/>
                <w:sz w:val="24"/>
                <w:szCs w:val="24"/>
              </w:rPr>
              <w:t>stfel:</w:t>
            </w:r>
          </w:p>
        </w:tc>
        <w:tc>
          <w:tcPr>
            <w:tcW w:w="4820" w:type="dxa"/>
          </w:tcPr>
          <w:p w:rsidR="001B21E6" w:rsidRDefault="00E550FC">
            <w:pPr>
              <w:jc w:val="both"/>
              <w:rPr>
                <w:color w:val="FF0000"/>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(i) la casa de pensii sectorială, în cazul în care cel </w:t>
            </w:r>
            <w:proofErr w:type="spellStart"/>
            <w:r>
              <w:rPr>
                <w:color w:val="000000"/>
                <w:sz w:val="24"/>
                <w:szCs w:val="24"/>
              </w:rPr>
              <w:t>puţin</w:t>
            </w:r>
            <w:proofErr w:type="spellEnd"/>
            <w:r>
              <w:rPr>
                <w:color w:val="000000"/>
                <w:sz w:val="24"/>
                <w:szCs w:val="24"/>
              </w:rPr>
              <w:t xml:space="preserve"> unul dintre plătitorii de venituri din pensii </w:t>
            </w:r>
            <w:proofErr w:type="spellStart"/>
            <w:r>
              <w:rPr>
                <w:color w:val="000000"/>
                <w:sz w:val="24"/>
                <w:szCs w:val="24"/>
              </w:rPr>
              <w:t>şi</w:t>
            </w:r>
            <w:proofErr w:type="spellEnd"/>
            <w:r>
              <w:rPr>
                <w:color w:val="000000"/>
                <w:sz w:val="24"/>
                <w:szCs w:val="24"/>
              </w:rPr>
              <w:t xml:space="preserve">/sau </w:t>
            </w:r>
            <w:proofErr w:type="spellStart"/>
            <w:r>
              <w:rPr>
                <w:color w:val="000000"/>
                <w:sz w:val="24"/>
                <w:szCs w:val="24"/>
              </w:rPr>
              <w:t>indemnizaţii</w:t>
            </w:r>
            <w:proofErr w:type="spellEnd"/>
            <w:r>
              <w:rPr>
                <w:color w:val="000000"/>
                <w:sz w:val="24"/>
                <w:szCs w:val="24"/>
              </w:rPr>
              <w:t xml:space="preserve"> pentru limită de vârstă este o casă de pensii sectorială;</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(ii) la casa de pensii publice teritorială sau a municip</w:t>
            </w:r>
            <w:r>
              <w:rPr>
                <w:color w:val="000000"/>
                <w:sz w:val="24"/>
                <w:szCs w:val="24"/>
              </w:rPr>
              <w:t xml:space="preserve">iului </w:t>
            </w:r>
            <w:proofErr w:type="spellStart"/>
            <w:r>
              <w:rPr>
                <w:color w:val="000000"/>
                <w:sz w:val="24"/>
                <w:szCs w:val="24"/>
              </w:rPr>
              <w:t>Bucureşti</w:t>
            </w:r>
            <w:proofErr w:type="spellEnd"/>
            <w:r>
              <w:rPr>
                <w:color w:val="000000"/>
                <w:sz w:val="24"/>
                <w:szCs w:val="24"/>
              </w:rPr>
              <w:t xml:space="preserve">, după caz, în celelalte </w:t>
            </w:r>
            <w:proofErr w:type="spellStart"/>
            <w:r>
              <w:rPr>
                <w:color w:val="000000"/>
                <w:sz w:val="24"/>
                <w:szCs w:val="24"/>
              </w:rPr>
              <w:t>situaţii</w:t>
            </w:r>
            <w:proofErr w:type="spellEnd"/>
            <w:r>
              <w:rPr>
                <w:color w:val="000000"/>
                <w:sz w:val="24"/>
                <w:szCs w:val="24"/>
              </w:rPr>
              <w:t>.</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(4) Declarația prevăzută la alin.(3) cuprinde în mod obligatoriu cel puțin următoarele elemente: datele de identificare ale contribuabilului, informații referitoare la nivelul venitului din pensia și/sau indemnizația pentru limită de vârstă primită, inclus</w:t>
            </w:r>
            <w:r>
              <w:rPr>
                <w:color w:val="000000"/>
                <w:sz w:val="24"/>
                <w:szCs w:val="24"/>
              </w:rPr>
              <w:t xml:space="preserve">iv informații privind componenta stabilită conform principiului </w:t>
            </w:r>
            <w:proofErr w:type="spellStart"/>
            <w:r>
              <w:rPr>
                <w:color w:val="000000"/>
                <w:sz w:val="24"/>
                <w:szCs w:val="24"/>
              </w:rPr>
              <w:t>contributivității</w:t>
            </w:r>
            <w:proofErr w:type="spellEnd"/>
            <w:r>
              <w:rPr>
                <w:color w:val="000000"/>
                <w:sz w:val="24"/>
                <w:szCs w:val="24"/>
              </w:rPr>
              <w:t>,  precum și plătitorul de venit.</w:t>
            </w:r>
          </w:p>
        </w:tc>
        <w:tc>
          <w:tcPr>
            <w:tcW w:w="4820" w:type="dxa"/>
          </w:tcPr>
          <w:p w:rsidR="001B21E6" w:rsidRDefault="00E550FC">
            <w:pPr>
              <w:jc w:val="both"/>
              <w:rPr>
                <w:color w:val="FF0000"/>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(5) Contribuabilul depune declarația pe propria răspundere prevăzută la alin.(3) însoțită de documente justificative eliberate</w:t>
            </w:r>
            <w:r>
              <w:rPr>
                <w:color w:val="000000"/>
                <w:sz w:val="24"/>
                <w:szCs w:val="24"/>
              </w:rPr>
              <w:t xml:space="preserve"> de fiecare plătitor, din care rezultă nivelul venitului </w:t>
            </w:r>
            <w:r>
              <w:rPr>
                <w:color w:val="000000"/>
                <w:sz w:val="24"/>
                <w:szCs w:val="24"/>
              </w:rPr>
              <w:lastRenderedPageBreak/>
              <w:t>reprezentând pensia și/sau indemnizația pentru limită de vârstă primită, impozitul pe venit aferent, calculat și reținut, precum și taxa calculată și reținută, după caz.</w:t>
            </w:r>
          </w:p>
        </w:tc>
        <w:tc>
          <w:tcPr>
            <w:tcW w:w="4820" w:type="dxa"/>
          </w:tcPr>
          <w:p w:rsidR="001B21E6" w:rsidRDefault="00E550FC">
            <w:pPr>
              <w:rPr>
                <w:sz w:val="24"/>
                <w:szCs w:val="24"/>
              </w:rPr>
            </w:pPr>
            <w:r>
              <w:rPr>
                <w:sz w:val="24"/>
                <w:szCs w:val="24"/>
              </w:rPr>
              <w:lastRenderedPageBreak/>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(6) </w:t>
            </w:r>
            <w:proofErr w:type="spellStart"/>
            <w:r>
              <w:rPr>
                <w:color w:val="000000"/>
                <w:sz w:val="24"/>
                <w:szCs w:val="24"/>
              </w:rPr>
              <w:t>Declaraţia</w:t>
            </w:r>
            <w:proofErr w:type="spellEnd"/>
            <w:r>
              <w:rPr>
                <w:color w:val="000000"/>
                <w:sz w:val="24"/>
                <w:szCs w:val="24"/>
              </w:rPr>
              <w:t xml:space="preserve"> prevăzută la alin.(4), </w:t>
            </w:r>
            <w:proofErr w:type="spellStart"/>
            <w:r>
              <w:rPr>
                <w:color w:val="000000"/>
                <w:sz w:val="24"/>
                <w:szCs w:val="24"/>
              </w:rPr>
              <w:t>însoţită</w:t>
            </w:r>
            <w:proofErr w:type="spellEnd"/>
            <w:r>
              <w:rPr>
                <w:color w:val="000000"/>
                <w:sz w:val="24"/>
                <w:szCs w:val="24"/>
              </w:rPr>
              <w:t xml:space="preserve"> de documentele justificative se depune la plătitorul de venit prevăzut la alin.(3), până la data de 15 a primei luni de aplicare a prevederilor prezentului titlu, iar în cazul modificării drepturilor de pensie </w:t>
            </w:r>
            <w:proofErr w:type="spellStart"/>
            <w:r>
              <w:rPr>
                <w:color w:val="000000"/>
                <w:sz w:val="24"/>
                <w:szCs w:val="24"/>
              </w:rPr>
              <w:t>şi</w:t>
            </w:r>
            <w:proofErr w:type="spellEnd"/>
            <w:r>
              <w:rPr>
                <w:color w:val="000000"/>
                <w:sz w:val="24"/>
                <w:szCs w:val="24"/>
              </w:rPr>
              <w:t xml:space="preserve">/sau </w:t>
            </w:r>
            <w:proofErr w:type="spellStart"/>
            <w:r>
              <w:rPr>
                <w:color w:val="000000"/>
                <w:sz w:val="24"/>
                <w:szCs w:val="24"/>
              </w:rPr>
              <w:t>indemn</w:t>
            </w:r>
            <w:r>
              <w:rPr>
                <w:color w:val="000000"/>
                <w:sz w:val="24"/>
                <w:szCs w:val="24"/>
              </w:rPr>
              <w:t>izaţie</w:t>
            </w:r>
            <w:proofErr w:type="spellEnd"/>
            <w:r>
              <w:rPr>
                <w:color w:val="000000"/>
                <w:sz w:val="24"/>
                <w:szCs w:val="24"/>
              </w:rPr>
              <w:t xml:space="preserve"> pentru limită de vârstă primită, până la data de 15 a lunii următoare celei în care se efectuează plata venitului din pensia </w:t>
            </w:r>
            <w:proofErr w:type="spellStart"/>
            <w:r>
              <w:rPr>
                <w:color w:val="000000"/>
                <w:sz w:val="24"/>
                <w:szCs w:val="24"/>
              </w:rPr>
              <w:t>şi</w:t>
            </w:r>
            <w:proofErr w:type="spellEnd"/>
            <w:r>
              <w:rPr>
                <w:color w:val="000000"/>
                <w:sz w:val="24"/>
                <w:szCs w:val="24"/>
              </w:rPr>
              <w:t xml:space="preserve">/sau </w:t>
            </w:r>
            <w:proofErr w:type="spellStart"/>
            <w:r>
              <w:rPr>
                <w:color w:val="000000"/>
                <w:sz w:val="24"/>
                <w:szCs w:val="24"/>
              </w:rPr>
              <w:t>indemnizaţia</w:t>
            </w:r>
            <w:proofErr w:type="spellEnd"/>
            <w:r>
              <w:rPr>
                <w:color w:val="000000"/>
                <w:sz w:val="24"/>
                <w:szCs w:val="24"/>
              </w:rPr>
              <w:t xml:space="preserve"> pentru limită de vârstă primită, ori de câte ori se modifică aceste drepturi.</w:t>
            </w:r>
          </w:p>
        </w:tc>
        <w:tc>
          <w:tcPr>
            <w:tcW w:w="4820" w:type="dxa"/>
          </w:tcPr>
          <w:p w:rsidR="001B21E6" w:rsidRDefault="00E550FC">
            <w:pPr>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(7) Pe baza </w:t>
            </w:r>
            <w:proofErr w:type="spellStart"/>
            <w:r>
              <w:rPr>
                <w:color w:val="000000"/>
                <w:sz w:val="24"/>
                <w:szCs w:val="24"/>
              </w:rPr>
              <w:t>declaraţiei</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a documentelor justificative depuse de contribuabili conform alin.(6), plătitorul de venit prevăzut la alin.(3) recalculează venitul lunar taxabil până la </w:t>
            </w:r>
            <w:proofErr w:type="spellStart"/>
            <w:r>
              <w:rPr>
                <w:color w:val="000000"/>
                <w:sz w:val="24"/>
                <w:szCs w:val="24"/>
              </w:rPr>
              <w:t>sfârşitul</w:t>
            </w:r>
            <w:proofErr w:type="spellEnd"/>
            <w:r>
              <w:rPr>
                <w:color w:val="000000"/>
                <w:sz w:val="24"/>
                <w:szCs w:val="24"/>
              </w:rPr>
              <w:t xml:space="preserve"> lunii următoare celei în care se efectuează plata venitului din </w:t>
            </w:r>
            <w:r>
              <w:rPr>
                <w:color w:val="000000"/>
                <w:sz w:val="24"/>
                <w:szCs w:val="24"/>
              </w:rPr>
              <w:t xml:space="preserve">pensia </w:t>
            </w:r>
            <w:proofErr w:type="spellStart"/>
            <w:r>
              <w:rPr>
                <w:color w:val="000000"/>
                <w:sz w:val="24"/>
                <w:szCs w:val="24"/>
              </w:rPr>
              <w:t>şi</w:t>
            </w:r>
            <w:proofErr w:type="spellEnd"/>
            <w:r>
              <w:rPr>
                <w:color w:val="000000"/>
                <w:sz w:val="24"/>
                <w:szCs w:val="24"/>
              </w:rPr>
              <w:t xml:space="preserve">/sau </w:t>
            </w:r>
            <w:proofErr w:type="spellStart"/>
            <w:r>
              <w:rPr>
                <w:color w:val="000000"/>
                <w:sz w:val="24"/>
                <w:szCs w:val="24"/>
              </w:rPr>
              <w:t>indemnizaţia</w:t>
            </w:r>
            <w:proofErr w:type="spellEnd"/>
            <w:r>
              <w:rPr>
                <w:color w:val="000000"/>
                <w:sz w:val="24"/>
                <w:szCs w:val="24"/>
              </w:rPr>
              <w:t xml:space="preserve"> pentru limită de vârstă primită.</w:t>
            </w:r>
          </w:p>
        </w:tc>
        <w:tc>
          <w:tcPr>
            <w:tcW w:w="4820" w:type="dxa"/>
          </w:tcPr>
          <w:p w:rsidR="001B21E6" w:rsidRDefault="00E550FC">
            <w:pPr>
              <w:jc w:val="both"/>
              <w:rPr>
                <w:color w:val="FF0000"/>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b/>
                <w:color w:val="000000"/>
                <w:sz w:val="24"/>
                <w:szCs w:val="24"/>
              </w:rPr>
            </w:pPr>
            <w:r>
              <w:rPr>
                <w:b/>
                <w:color w:val="000000"/>
                <w:sz w:val="24"/>
                <w:szCs w:val="24"/>
              </w:rPr>
              <w:t>Art.134</w:t>
            </w:r>
            <w:r>
              <w:rPr>
                <w:b/>
                <w:color w:val="000000"/>
                <w:sz w:val="24"/>
                <w:szCs w:val="24"/>
                <w:vertAlign w:val="superscript"/>
              </w:rPr>
              <w:t>3</w:t>
            </w:r>
            <w:r>
              <w:rPr>
                <w:b/>
                <w:color w:val="000000"/>
                <w:sz w:val="24"/>
                <w:szCs w:val="24"/>
              </w:rPr>
              <w:t xml:space="preserve">.- Calculul, </w:t>
            </w:r>
            <w:proofErr w:type="spellStart"/>
            <w:r>
              <w:rPr>
                <w:b/>
                <w:color w:val="000000"/>
                <w:sz w:val="24"/>
                <w:szCs w:val="24"/>
              </w:rPr>
              <w:t>reţinerea</w:t>
            </w:r>
            <w:proofErr w:type="spellEnd"/>
            <w:r>
              <w:rPr>
                <w:b/>
                <w:color w:val="000000"/>
                <w:sz w:val="24"/>
                <w:szCs w:val="24"/>
              </w:rPr>
              <w:t xml:space="preserve">, plata </w:t>
            </w:r>
            <w:proofErr w:type="spellStart"/>
            <w:r>
              <w:rPr>
                <w:b/>
                <w:color w:val="000000"/>
                <w:sz w:val="24"/>
                <w:szCs w:val="24"/>
              </w:rPr>
              <w:t>şi</w:t>
            </w:r>
            <w:proofErr w:type="spellEnd"/>
            <w:r>
              <w:rPr>
                <w:b/>
                <w:color w:val="000000"/>
                <w:sz w:val="24"/>
                <w:szCs w:val="24"/>
              </w:rPr>
              <w:t xml:space="preserve"> declararea taxei pe veniturile din pensii </w:t>
            </w:r>
            <w:proofErr w:type="spellStart"/>
            <w:r>
              <w:rPr>
                <w:b/>
                <w:color w:val="000000"/>
                <w:sz w:val="24"/>
                <w:szCs w:val="24"/>
              </w:rPr>
              <w:t>şi</w:t>
            </w:r>
            <w:proofErr w:type="spellEnd"/>
            <w:r>
              <w:rPr>
                <w:b/>
                <w:color w:val="000000"/>
                <w:sz w:val="24"/>
                <w:szCs w:val="24"/>
              </w:rPr>
              <w:t xml:space="preserve"> </w:t>
            </w:r>
            <w:proofErr w:type="spellStart"/>
            <w:r>
              <w:rPr>
                <w:b/>
                <w:color w:val="000000"/>
                <w:sz w:val="24"/>
                <w:szCs w:val="24"/>
              </w:rPr>
              <w:t>indemnizaţii</w:t>
            </w:r>
            <w:proofErr w:type="spellEnd"/>
            <w:r>
              <w:rPr>
                <w:b/>
                <w:color w:val="000000"/>
                <w:sz w:val="24"/>
                <w:szCs w:val="24"/>
              </w:rPr>
              <w:t xml:space="preserve"> pentru limită de vârstă</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(1) Plătitorii de venituri din pensii </w:t>
            </w:r>
            <w:proofErr w:type="spellStart"/>
            <w:r>
              <w:rPr>
                <w:color w:val="000000"/>
                <w:sz w:val="24"/>
                <w:szCs w:val="24"/>
              </w:rPr>
              <w:t>şi</w:t>
            </w:r>
            <w:proofErr w:type="spellEnd"/>
            <w:r>
              <w:rPr>
                <w:color w:val="000000"/>
                <w:sz w:val="24"/>
                <w:szCs w:val="24"/>
              </w:rPr>
              <w:t xml:space="preserve">/sau </w:t>
            </w:r>
            <w:proofErr w:type="spellStart"/>
            <w:r>
              <w:rPr>
                <w:color w:val="000000"/>
                <w:sz w:val="24"/>
                <w:szCs w:val="24"/>
              </w:rPr>
              <w:t>indemnizaţii</w:t>
            </w:r>
            <w:proofErr w:type="spellEnd"/>
            <w:r>
              <w:rPr>
                <w:color w:val="000000"/>
                <w:sz w:val="24"/>
                <w:szCs w:val="24"/>
              </w:rPr>
              <w:t xml:space="preserve"> pentru limită de vârstă au </w:t>
            </w:r>
            <w:proofErr w:type="spellStart"/>
            <w:r>
              <w:rPr>
                <w:color w:val="000000"/>
                <w:sz w:val="24"/>
                <w:szCs w:val="24"/>
              </w:rPr>
              <w:t>obligaţia</w:t>
            </w:r>
            <w:proofErr w:type="spellEnd"/>
            <w:r>
              <w:rPr>
                <w:color w:val="000000"/>
                <w:sz w:val="24"/>
                <w:szCs w:val="24"/>
              </w:rPr>
              <w:t xml:space="preserve"> lunară, de a calcula, </w:t>
            </w:r>
            <w:proofErr w:type="spellStart"/>
            <w:r>
              <w:rPr>
                <w:color w:val="000000"/>
                <w:sz w:val="24"/>
                <w:szCs w:val="24"/>
              </w:rPr>
              <w:t>reţine</w:t>
            </w:r>
            <w:proofErr w:type="spellEnd"/>
            <w:r>
              <w:rPr>
                <w:color w:val="000000"/>
                <w:sz w:val="24"/>
                <w:szCs w:val="24"/>
              </w:rPr>
              <w:t xml:space="preserve">, declara </w:t>
            </w:r>
            <w:proofErr w:type="spellStart"/>
            <w:r>
              <w:rPr>
                <w:color w:val="000000"/>
                <w:sz w:val="24"/>
                <w:szCs w:val="24"/>
              </w:rPr>
              <w:t>şi</w:t>
            </w:r>
            <w:proofErr w:type="spellEnd"/>
            <w:r>
              <w:rPr>
                <w:color w:val="000000"/>
                <w:sz w:val="24"/>
                <w:szCs w:val="24"/>
              </w:rPr>
              <w:t xml:space="preserve"> plăti taxa la bugetul de stat.</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Borders>
              <w:bottom w:val="nil"/>
            </w:tcBorders>
          </w:tcPr>
          <w:p w:rsidR="001B21E6" w:rsidRDefault="001B21E6">
            <w:pPr>
              <w:numPr>
                <w:ilvl w:val="0"/>
                <w:numId w:val="1"/>
              </w:numPr>
              <w:ind w:left="0" w:firstLine="0"/>
              <w:jc w:val="both"/>
            </w:pPr>
          </w:p>
        </w:tc>
        <w:tc>
          <w:tcPr>
            <w:tcW w:w="4819" w:type="dxa"/>
            <w:vMerge w:val="restart"/>
            <w:shd w:val="clear" w:color="auto" w:fill="auto"/>
          </w:tcPr>
          <w:p w:rsidR="001B21E6" w:rsidRDefault="001B21E6">
            <w:pPr>
              <w:tabs>
                <w:tab w:val="left" w:pos="567"/>
                <w:tab w:val="left" w:pos="993"/>
                <w:tab w:val="left" w:pos="1560"/>
                <w:tab w:val="left" w:pos="2127"/>
              </w:tabs>
              <w:jc w:val="both"/>
              <w:rPr>
                <w:color w:val="000000"/>
                <w:sz w:val="24"/>
                <w:szCs w:val="24"/>
              </w:rPr>
            </w:pPr>
          </w:p>
          <w:p w:rsidR="001B21E6" w:rsidRDefault="001B21E6">
            <w:pPr>
              <w:tabs>
                <w:tab w:val="left" w:pos="567"/>
                <w:tab w:val="left" w:pos="993"/>
                <w:tab w:val="left" w:pos="1560"/>
                <w:tab w:val="left" w:pos="2127"/>
              </w:tabs>
              <w:jc w:val="both"/>
              <w:rPr>
                <w:color w:val="000000"/>
                <w:sz w:val="24"/>
                <w:szCs w:val="24"/>
              </w:rPr>
            </w:pPr>
          </w:p>
          <w:p w:rsidR="001B21E6" w:rsidRDefault="001B21E6">
            <w:pPr>
              <w:tabs>
                <w:tab w:val="left" w:pos="567"/>
                <w:tab w:val="left" w:pos="993"/>
                <w:tab w:val="left" w:pos="1560"/>
                <w:tab w:val="left" w:pos="2127"/>
              </w:tabs>
              <w:jc w:val="both"/>
              <w:rPr>
                <w:color w:val="000000"/>
                <w:sz w:val="24"/>
                <w:szCs w:val="24"/>
              </w:rPr>
            </w:pPr>
          </w:p>
          <w:p w:rsidR="001B21E6" w:rsidRDefault="00E550FC">
            <w:pPr>
              <w:tabs>
                <w:tab w:val="left" w:pos="567"/>
                <w:tab w:val="left" w:pos="993"/>
                <w:tab w:val="left" w:pos="1560"/>
                <w:tab w:val="left" w:pos="2127"/>
              </w:tabs>
              <w:jc w:val="both"/>
              <w:rPr>
                <w:color w:val="000000"/>
                <w:sz w:val="24"/>
                <w:szCs w:val="24"/>
              </w:rPr>
            </w:pPr>
            <w:r>
              <w:rPr>
                <w:color w:val="000000"/>
                <w:sz w:val="24"/>
                <w:szCs w:val="24"/>
              </w:rPr>
              <w:t>(2) Taxa se calculează prin aplicarea următorului barem lunar asupra venitului lunar taxabil, determinat potrivit art.134</w:t>
            </w:r>
            <w:r>
              <w:rPr>
                <w:color w:val="000000"/>
                <w:sz w:val="24"/>
                <w:szCs w:val="24"/>
                <w:vertAlign w:val="superscript"/>
              </w:rPr>
              <w:t>2</w:t>
            </w:r>
            <w:r>
              <w:rPr>
                <w:color w:val="000000"/>
                <w:sz w:val="24"/>
                <w:szCs w:val="24"/>
              </w:rPr>
              <w:t xml:space="preserve"> alin.(1) sau </w:t>
            </w:r>
          </w:p>
          <w:p w:rsidR="001B21E6" w:rsidRDefault="00E550FC">
            <w:pPr>
              <w:tabs>
                <w:tab w:val="left" w:pos="567"/>
                <w:tab w:val="left" w:pos="993"/>
                <w:tab w:val="left" w:pos="1560"/>
                <w:tab w:val="left" w:pos="2127"/>
              </w:tabs>
              <w:jc w:val="both"/>
              <w:rPr>
                <w:color w:val="000000"/>
                <w:sz w:val="24"/>
                <w:szCs w:val="24"/>
              </w:rPr>
            </w:pPr>
            <w:r>
              <w:rPr>
                <w:color w:val="000000"/>
                <w:sz w:val="24"/>
                <w:szCs w:val="24"/>
              </w:rPr>
              <w:t xml:space="preserve"> (2), după caz:</w:t>
            </w:r>
          </w:p>
          <w:p w:rsidR="001B21E6" w:rsidRDefault="001B21E6">
            <w:pPr>
              <w:tabs>
                <w:tab w:val="left" w:pos="567"/>
                <w:tab w:val="left" w:pos="993"/>
                <w:tab w:val="left" w:pos="1560"/>
                <w:tab w:val="left" w:pos="2127"/>
              </w:tabs>
              <w:jc w:val="both"/>
              <w:rPr>
                <w:color w:val="000000"/>
                <w:sz w:val="24"/>
                <w:szCs w:val="24"/>
              </w:rPr>
            </w:pPr>
          </w:p>
          <w:tbl>
            <w:tblPr>
              <w:tblStyle w:val="a0"/>
              <w:tblW w:w="4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0"/>
              <w:gridCol w:w="1589"/>
            </w:tblGrid>
            <w:tr w:rsidR="001B21E6">
              <w:tc>
                <w:tcPr>
                  <w:tcW w:w="3000" w:type="dxa"/>
                  <w:tcBorders>
                    <w:bottom w:val="nil"/>
                  </w:tcBorders>
                  <w:vAlign w:val="center"/>
                </w:tcPr>
                <w:p w:rsidR="001B21E6" w:rsidRDefault="00E550FC">
                  <w:pPr>
                    <w:jc w:val="center"/>
                    <w:rPr>
                      <w:rFonts w:ascii="Times New Roman" w:hAnsi="Times New Roman" w:cs="Times New Roman"/>
                      <w:b/>
                      <w:sz w:val="24"/>
                      <w:szCs w:val="24"/>
                    </w:rPr>
                  </w:pPr>
                  <w:proofErr w:type="spellStart"/>
                  <w:r>
                    <w:rPr>
                      <w:rFonts w:ascii="Times New Roman" w:hAnsi="Times New Roman" w:cs="Times New Roman"/>
                      <w:b/>
                      <w:sz w:val="24"/>
                      <w:szCs w:val="24"/>
                    </w:rPr>
                    <w:t>Tranşe</w:t>
                  </w:r>
                  <w:proofErr w:type="spellEnd"/>
                  <w:r>
                    <w:rPr>
                      <w:rFonts w:ascii="Times New Roman" w:hAnsi="Times New Roman" w:cs="Times New Roman"/>
                      <w:b/>
                      <w:sz w:val="24"/>
                      <w:szCs w:val="24"/>
                    </w:rPr>
                    <w:t xml:space="preserve"> de venit</w:t>
                  </w:r>
                </w:p>
              </w:tc>
              <w:tc>
                <w:tcPr>
                  <w:tcW w:w="1589" w:type="dxa"/>
                  <w:vMerge w:val="restart"/>
                </w:tcPr>
                <w:p w:rsidR="001B21E6" w:rsidRDefault="00E550FC">
                  <w:pPr>
                    <w:ind w:left="-102"/>
                    <w:jc w:val="center"/>
                    <w:rPr>
                      <w:rFonts w:ascii="Times New Roman" w:hAnsi="Times New Roman" w:cs="Times New Roman"/>
                      <w:b/>
                      <w:sz w:val="24"/>
                      <w:szCs w:val="24"/>
                    </w:rPr>
                  </w:pPr>
                  <w:r>
                    <w:rPr>
                      <w:rFonts w:ascii="Times New Roman" w:hAnsi="Times New Roman" w:cs="Times New Roman"/>
                      <w:b/>
                      <w:sz w:val="24"/>
                      <w:szCs w:val="24"/>
                    </w:rPr>
                    <w:t>Taxă</w:t>
                  </w:r>
                </w:p>
                <w:p w:rsidR="001B21E6" w:rsidRDefault="00E550FC">
                  <w:pPr>
                    <w:ind w:left="-102"/>
                    <w:jc w:val="center"/>
                    <w:rPr>
                      <w:rFonts w:ascii="Times New Roman" w:hAnsi="Times New Roman" w:cs="Times New Roman"/>
                      <w:b/>
                      <w:sz w:val="24"/>
                      <w:szCs w:val="24"/>
                    </w:rPr>
                  </w:pPr>
                  <w:r>
                    <w:rPr>
                      <w:rFonts w:ascii="Times New Roman" w:hAnsi="Times New Roman" w:cs="Times New Roman"/>
                      <w:b/>
                      <w:sz w:val="24"/>
                      <w:szCs w:val="24"/>
                    </w:rPr>
                    <w:t>-lei-</w:t>
                  </w:r>
                </w:p>
                <w:p w:rsidR="001B21E6" w:rsidRDefault="001B21E6">
                  <w:pPr>
                    <w:jc w:val="center"/>
                    <w:rPr>
                      <w:rFonts w:ascii="Times New Roman" w:hAnsi="Times New Roman" w:cs="Times New Roman"/>
                      <w:sz w:val="24"/>
                      <w:szCs w:val="24"/>
                    </w:rPr>
                  </w:pPr>
                </w:p>
              </w:tc>
            </w:tr>
            <w:tr w:rsidR="001B21E6">
              <w:tc>
                <w:tcPr>
                  <w:tcW w:w="3000" w:type="dxa"/>
                  <w:tcBorders>
                    <w:top w:val="nil"/>
                  </w:tcBorders>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lunar taxabil</w:t>
                  </w:r>
                </w:p>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-lei-</w:t>
                  </w:r>
                </w:p>
              </w:tc>
              <w:tc>
                <w:tcPr>
                  <w:tcW w:w="1589" w:type="dxa"/>
                  <w:vMerge/>
                </w:tcPr>
                <w:p w:rsidR="001B21E6" w:rsidRDefault="001B21E6">
                  <w:pPr>
                    <w:widowControl w:val="0"/>
                    <w:pBdr>
                      <w:top w:val="nil"/>
                      <w:left w:val="nil"/>
                      <w:bottom w:val="nil"/>
                      <w:right w:val="nil"/>
                      <w:between w:val="nil"/>
                    </w:pBdr>
                    <w:spacing w:line="276" w:lineRule="auto"/>
                    <w:rPr>
                      <w:rFonts w:ascii="Times New Roman" w:hAnsi="Times New Roman" w:cs="Times New Roman"/>
                      <w:b/>
                      <w:sz w:val="24"/>
                      <w:szCs w:val="24"/>
                    </w:rPr>
                  </w:pPr>
                </w:p>
              </w:tc>
            </w:tr>
            <w:tr w:rsidR="001B21E6">
              <w:trPr>
                <w:trHeight w:val="820"/>
              </w:trPr>
              <w:tc>
                <w:tcPr>
                  <w:tcW w:w="3000"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Până la 7.000, inclusiv</w:t>
                  </w:r>
                </w:p>
              </w:tc>
              <w:tc>
                <w:tcPr>
                  <w:tcW w:w="1589"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0%</w:t>
                  </w:r>
                </w:p>
              </w:tc>
            </w:tr>
            <w:tr w:rsidR="001B21E6">
              <w:trPr>
                <w:trHeight w:val="820"/>
              </w:trPr>
              <w:tc>
                <w:tcPr>
                  <w:tcW w:w="3000"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7001-10.000, inclusiv</w:t>
                  </w:r>
                </w:p>
              </w:tc>
              <w:tc>
                <w:tcPr>
                  <w:tcW w:w="1589"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30%</w:t>
                  </w:r>
                </w:p>
              </w:tc>
            </w:tr>
            <w:tr w:rsidR="001B21E6">
              <w:trPr>
                <w:trHeight w:val="820"/>
              </w:trPr>
              <w:tc>
                <w:tcPr>
                  <w:tcW w:w="3000"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Peste 10.000</w:t>
                  </w:r>
                </w:p>
              </w:tc>
              <w:tc>
                <w:tcPr>
                  <w:tcW w:w="1589"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 xml:space="preserve">900+50% pentru ceea ce </w:t>
                  </w:r>
                  <w:proofErr w:type="spellStart"/>
                  <w:r>
                    <w:rPr>
                      <w:rFonts w:ascii="Times New Roman" w:hAnsi="Times New Roman" w:cs="Times New Roman"/>
                      <w:b/>
                      <w:sz w:val="24"/>
                      <w:szCs w:val="24"/>
                    </w:rPr>
                    <w:t>depăşeşte</w:t>
                  </w:r>
                  <w:proofErr w:type="spellEnd"/>
                  <w:r>
                    <w:rPr>
                      <w:rFonts w:ascii="Times New Roman" w:hAnsi="Times New Roman" w:cs="Times New Roman"/>
                      <w:b/>
                      <w:sz w:val="24"/>
                      <w:szCs w:val="24"/>
                    </w:rPr>
                    <w:t xml:space="preserve"> suma de 10.000 lei</w:t>
                  </w:r>
                </w:p>
              </w:tc>
            </w:tr>
          </w:tbl>
          <w:p w:rsidR="001B21E6" w:rsidRDefault="001B21E6">
            <w:pPr>
              <w:tabs>
                <w:tab w:val="left" w:pos="567"/>
                <w:tab w:val="left" w:pos="993"/>
                <w:tab w:val="left" w:pos="1560"/>
                <w:tab w:val="left" w:pos="2127"/>
              </w:tabs>
              <w:jc w:val="both"/>
              <w:rPr>
                <w:color w:val="000000"/>
                <w:sz w:val="24"/>
                <w:szCs w:val="24"/>
              </w:rPr>
            </w:pPr>
          </w:p>
        </w:tc>
        <w:tc>
          <w:tcPr>
            <w:tcW w:w="4820" w:type="dxa"/>
            <w:tcBorders>
              <w:bottom w:val="nil"/>
            </w:tcBorders>
          </w:tcPr>
          <w:p w:rsidR="001B21E6" w:rsidRDefault="00E550FC">
            <w:pPr>
              <w:pBdr>
                <w:top w:val="nil"/>
                <w:left w:val="nil"/>
                <w:bottom w:val="nil"/>
                <w:right w:val="nil"/>
                <w:between w:val="nil"/>
              </w:pBdr>
              <w:tabs>
                <w:tab w:val="left" w:pos="275"/>
              </w:tabs>
              <w:ind w:hanging="720"/>
              <w:jc w:val="both"/>
              <w:rPr>
                <w:b/>
                <w:color w:val="000000"/>
                <w:sz w:val="24"/>
                <w:szCs w:val="24"/>
              </w:rPr>
            </w:pPr>
            <w:r>
              <w:rPr>
                <w:b/>
                <w:color w:val="000000"/>
                <w:sz w:val="24"/>
                <w:szCs w:val="24"/>
              </w:rPr>
              <w:t xml:space="preserve">La articolul 134³, alin. (2) se modifică și va avea următorul cuprins: </w:t>
            </w:r>
          </w:p>
          <w:p w:rsidR="001B21E6" w:rsidRDefault="001B21E6">
            <w:pPr>
              <w:pBdr>
                <w:top w:val="nil"/>
                <w:left w:val="nil"/>
                <w:bottom w:val="nil"/>
                <w:right w:val="nil"/>
                <w:between w:val="nil"/>
              </w:pBdr>
              <w:tabs>
                <w:tab w:val="left" w:pos="275"/>
              </w:tabs>
              <w:ind w:hanging="720"/>
              <w:jc w:val="both"/>
              <w:rPr>
                <w:b/>
                <w:color w:val="000000"/>
                <w:sz w:val="24"/>
                <w:szCs w:val="24"/>
              </w:rPr>
            </w:pPr>
          </w:p>
          <w:p w:rsidR="001B21E6" w:rsidRDefault="00E550FC">
            <w:pPr>
              <w:pBdr>
                <w:top w:val="nil"/>
                <w:left w:val="nil"/>
                <w:bottom w:val="nil"/>
                <w:right w:val="nil"/>
                <w:between w:val="nil"/>
              </w:pBdr>
              <w:tabs>
                <w:tab w:val="left" w:pos="275"/>
              </w:tabs>
              <w:ind w:hanging="720"/>
              <w:jc w:val="both"/>
              <w:rPr>
                <w:b/>
                <w:color w:val="000000"/>
                <w:sz w:val="24"/>
                <w:szCs w:val="24"/>
              </w:rPr>
            </w:pPr>
            <w:r>
              <w:rPr>
                <w:color w:val="000000"/>
                <w:sz w:val="24"/>
                <w:szCs w:val="24"/>
              </w:rPr>
              <w:t>(2) Taxa se calculează prin aplicarea următorului barem lunar asupra venitului lunar taxa</w:t>
            </w:r>
            <w:r>
              <w:rPr>
                <w:color w:val="000000"/>
                <w:sz w:val="24"/>
                <w:szCs w:val="24"/>
              </w:rPr>
              <w:t xml:space="preserve">bil, determinat potrivit art. 134² alin. (1) </w:t>
            </w:r>
          </w:p>
          <w:p w:rsidR="001B21E6" w:rsidRDefault="00E550FC">
            <w:pPr>
              <w:jc w:val="both"/>
              <w:rPr>
                <w:sz w:val="24"/>
                <w:szCs w:val="24"/>
              </w:rPr>
            </w:pPr>
            <w:r>
              <w:rPr>
                <w:sz w:val="24"/>
                <w:szCs w:val="24"/>
              </w:rPr>
              <w:t xml:space="preserve"> sau (2), după caz:</w:t>
            </w:r>
          </w:p>
          <w:p w:rsidR="001B21E6" w:rsidRDefault="001B21E6">
            <w:pPr>
              <w:jc w:val="both"/>
              <w:rPr>
                <w:sz w:val="24"/>
                <w:szCs w:val="24"/>
              </w:rPr>
            </w:pPr>
          </w:p>
          <w:tbl>
            <w:tblPr>
              <w:tblStyle w:val="a1"/>
              <w:tblW w:w="4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0"/>
              <w:gridCol w:w="1589"/>
            </w:tblGrid>
            <w:tr w:rsidR="001B21E6">
              <w:tc>
                <w:tcPr>
                  <w:tcW w:w="3000" w:type="dxa"/>
                  <w:tcBorders>
                    <w:bottom w:val="nil"/>
                  </w:tcBorders>
                  <w:vAlign w:val="center"/>
                </w:tcPr>
                <w:p w:rsidR="001B21E6" w:rsidRDefault="00E550FC">
                  <w:pPr>
                    <w:jc w:val="center"/>
                    <w:rPr>
                      <w:rFonts w:ascii="Times New Roman" w:hAnsi="Times New Roman" w:cs="Times New Roman"/>
                      <w:b/>
                      <w:sz w:val="24"/>
                      <w:szCs w:val="24"/>
                    </w:rPr>
                  </w:pPr>
                  <w:proofErr w:type="spellStart"/>
                  <w:r>
                    <w:rPr>
                      <w:rFonts w:ascii="Times New Roman" w:hAnsi="Times New Roman" w:cs="Times New Roman"/>
                      <w:b/>
                      <w:sz w:val="24"/>
                      <w:szCs w:val="24"/>
                    </w:rPr>
                    <w:t>Tranşe</w:t>
                  </w:r>
                  <w:proofErr w:type="spellEnd"/>
                  <w:r>
                    <w:rPr>
                      <w:rFonts w:ascii="Times New Roman" w:hAnsi="Times New Roman" w:cs="Times New Roman"/>
                      <w:b/>
                      <w:sz w:val="24"/>
                      <w:szCs w:val="24"/>
                    </w:rPr>
                    <w:t xml:space="preserve"> de venit</w:t>
                  </w:r>
                </w:p>
              </w:tc>
              <w:tc>
                <w:tcPr>
                  <w:tcW w:w="1589" w:type="dxa"/>
                  <w:vMerge w:val="restart"/>
                </w:tcPr>
                <w:p w:rsidR="001B21E6" w:rsidRDefault="00E550FC">
                  <w:pPr>
                    <w:ind w:left="-102"/>
                    <w:jc w:val="center"/>
                    <w:rPr>
                      <w:rFonts w:ascii="Times New Roman" w:hAnsi="Times New Roman" w:cs="Times New Roman"/>
                      <w:b/>
                      <w:sz w:val="24"/>
                      <w:szCs w:val="24"/>
                    </w:rPr>
                  </w:pPr>
                  <w:r>
                    <w:rPr>
                      <w:rFonts w:ascii="Times New Roman" w:hAnsi="Times New Roman" w:cs="Times New Roman"/>
                      <w:b/>
                      <w:sz w:val="24"/>
                      <w:szCs w:val="24"/>
                    </w:rPr>
                    <w:t>Taxă</w:t>
                  </w:r>
                </w:p>
                <w:p w:rsidR="001B21E6" w:rsidRDefault="00E550FC">
                  <w:pPr>
                    <w:ind w:left="-102"/>
                    <w:jc w:val="center"/>
                    <w:rPr>
                      <w:rFonts w:ascii="Times New Roman" w:hAnsi="Times New Roman" w:cs="Times New Roman"/>
                      <w:b/>
                      <w:sz w:val="24"/>
                      <w:szCs w:val="24"/>
                    </w:rPr>
                  </w:pPr>
                  <w:r>
                    <w:rPr>
                      <w:rFonts w:ascii="Times New Roman" w:hAnsi="Times New Roman" w:cs="Times New Roman"/>
                      <w:b/>
                      <w:sz w:val="24"/>
                      <w:szCs w:val="24"/>
                    </w:rPr>
                    <w:t>-lei-</w:t>
                  </w:r>
                </w:p>
                <w:p w:rsidR="001B21E6" w:rsidRDefault="001B21E6">
                  <w:pPr>
                    <w:jc w:val="center"/>
                    <w:rPr>
                      <w:rFonts w:ascii="Times New Roman" w:hAnsi="Times New Roman" w:cs="Times New Roman"/>
                      <w:sz w:val="24"/>
                      <w:szCs w:val="24"/>
                    </w:rPr>
                  </w:pPr>
                </w:p>
              </w:tc>
            </w:tr>
            <w:tr w:rsidR="001B21E6">
              <w:tc>
                <w:tcPr>
                  <w:tcW w:w="3000" w:type="dxa"/>
                  <w:tcBorders>
                    <w:top w:val="nil"/>
                  </w:tcBorders>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lunar taxabil</w:t>
                  </w:r>
                </w:p>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-lei-</w:t>
                  </w:r>
                </w:p>
              </w:tc>
              <w:tc>
                <w:tcPr>
                  <w:tcW w:w="1589" w:type="dxa"/>
                  <w:vMerge/>
                </w:tcPr>
                <w:p w:rsidR="001B21E6" w:rsidRDefault="001B21E6">
                  <w:pPr>
                    <w:widowControl w:val="0"/>
                    <w:pBdr>
                      <w:top w:val="nil"/>
                      <w:left w:val="nil"/>
                      <w:bottom w:val="nil"/>
                      <w:right w:val="nil"/>
                      <w:between w:val="nil"/>
                    </w:pBdr>
                    <w:spacing w:line="276" w:lineRule="auto"/>
                    <w:rPr>
                      <w:rFonts w:ascii="Times New Roman" w:hAnsi="Times New Roman" w:cs="Times New Roman"/>
                      <w:b/>
                      <w:sz w:val="24"/>
                      <w:szCs w:val="24"/>
                    </w:rPr>
                  </w:pPr>
                </w:p>
              </w:tc>
            </w:tr>
            <w:tr w:rsidR="001B21E6">
              <w:trPr>
                <w:trHeight w:val="820"/>
              </w:trPr>
              <w:tc>
                <w:tcPr>
                  <w:tcW w:w="3000"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Până la 2.000, inclusiv</w:t>
                  </w:r>
                </w:p>
              </w:tc>
              <w:tc>
                <w:tcPr>
                  <w:tcW w:w="1589"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0%</w:t>
                  </w:r>
                </w:p>
              </w:tc>
            </w:tr>
            <w:tr w:rsidR="001B21E6">
              <w:trPr>
                <w:trHeight w:val="820"/>
              </w:trPr>
              <w:tc>
                <w:tcPr>
                  <w:tcW w:w="3000"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Între 2.000-7.000, inclusiv</w:t>
                  </w:r>
                </w:p>
              </w:tc>
              <w:tc>
                <w:tcPr>
                  <w:tcW w:w="1589"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10%</w:t>
                  </w:r>
                </w:p>
              </w:tc>
            </w:tr>
            <w:tr w:rsidR="001B21E6">
              <w:trPr>
                <w:trHeight w:val="820"/>
              </w:trPr>
              <w:tc>
                <w:tcPr>
                  <w:tcW w:w="3000"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Peste 7.001</w:t>
                  </w:r>
                </w:p>
              </w:tc>
              <w:tc>
                <w:tcPr>
                  <w:tcW w:w="1589" w:type="dxa"/>
                  <w:vAlign w:val="center"/>
                </w:tcPr>
                <w:p w:rsidR="001B21E6" w:rsidRDefault="00E550FC">
                  <w:pPr>
                    <w:jc w:val="center"/>
                    <w:rPr>
                      <w:rFonts w:ascii="Times New Roman" w:hAnsi="Times New Roman" w:cs="Times New Roman"/>
                      <w:b/>
                      <w:sz w:val="24"/>
                      <w:szCs w:val="24"/>
                    </w:rPr>
                  </w:pPr>
                  <w:r>
                    <w:rPr>
                      <w:rFonts w:ascii="Times New Roman" w:hAnsi="Times New Roman" w:cs="Times New Roman"/>
                      <w:b/>
                      <w:sz w:val="24"/>
                      <w:szCs w:val="24"/>
                    </w:rPr>
                    <w:t>85% pentru ceea ce depășește suma de 7001 lei</w:t>
                  </w:r>
                </w:p>
              </w:tc>
            </w:tr>
          </w:tbl>
          <w:p w:rsidR="001B21E6" w:rsidRDefault="001B21E6">
            <w:pPr>
              <w:jc w:val="both"/>
              <w:rPr>
                <w:sz w:val="24"/>
                <w:szCs w:val="24"/>
              </w:rPr>
            </w:pPr>
          </w:p>
          <w:p w:rsidR="001B21E6" w:rsidRDefault="001B21E6">
            <w:pPr>
              <w:jc w:val="both"/>
              <w:rPr>
                <w:sz w:val="24"/>
                <w:szCs w:val="24"/>
              </w:rPr>
            </w:pPr>
          </w:p>
          <w:p w:rsidR="001B21E6" w:rsidRDefault="00E550FC">
            <w:pPr>
              <w:jc w:val="both"/>
              <w:rPr>
                <w:i/>
                <w:sz w:val="24"/>
                <w:szCs w:val="24"/>
              </w:rPr>
            </w:pPr>
            <w:bookmarkStart w:id="0" w:name="_gjdgxs" w:colFirst="0" w:colLast="0"/>
            <w:bookmarkEnd w:id="0"/>
            <w:r>
              <w:rPr>
                <w:i/>
                <w:sz w:val="24"/>
                <w:szCs w:val="24"/>
              </w:rPr>
              <w:t xml:space="preserve">Autori: Deputat PSD Alfred </w:t>
            </w:r>
            <w:proofErr w:type="spellStart"/>
            <w:r>
              <w:rPr>
                <w:i/>
                <w:sz w:val="24"/>
                <w:szCs w:val="24"/>
              </w:rPr>
              <w:t>Simonis</w:t>
            </w:r>
            <w:proofErr w:type="spellEnd"/>
            <w:r>
              <w:rPr>
                <w:i/>
                <w:sz w:val="24"/>
                <w:szCs w:val="24"/>
              </w:rPr>
              <w:t>, deputat PNL Florin Roman, Membrii Comisiei pentru buget PSD si PNL</w:t>
            </w:r>
          </w:p>
          <w:p w:rsidR="001B21E6" w:rsidRDefault="001B21E6">
            <w:pPr>
              <w:jc w:val="both"/>
              <w:rPr>
                <w:sz w:val="24"/>
                <w:szCs w:val="24"/>
              </w:rPr>
            </w:pPr>
          </w:p>
          <w:p w:rsidR="001B21E6" w:rsidRDefault="001B21E6">
            <w:pPr>
              <w:jc w:val="both"/>
              <w:rPr>
                <w:sz w:val="24"/>
                <w:szCs w:val="24"/>
              </w:rPr>
            </w:pPr>
          </w:p>
          <w:p w:rsidR="001B21E6" w:rsidRDefault="001B21E6">
            <w:pPr>
              <w:jc w:val="both"/>
              <w:rPr>
                <w:b/>
                <w:i/>
                <w:sz w:val="24"/>
                <w:szCs w:val="24"/>
              </w:rPr>
            </w:pPr>
          </w:p>
        </w:tc>
        <w:tc>
          <w:tcPr>
            <w:tcW w:w="4820" w:type="dxa"/>
            <w:tcBorders>
              <w:bottom w:val="nil"/>
            </w:tcBorders>
          </w:tcPr>
          <w:p w:rsidR="001B21E6" w:rsidRDefault="001B21E6">
            <w:pPr>
              <w:jc w:val="both"/>
              <w:rPr>
                <w:color w:val="000000"/>
                <w:sz w:val="24"/>
                <w:szCs w:val="24"/>
              </w:rPr>
            </w:pPr>
          </w:p>
        </w:tc>
      </w:tr>
      <w:tr w:rsidR="001B21E6">
        <w:trPr>
          <w:trHeight w:val="60"/>
        </w:trPr>
        <w:tc>
          <w:tcPr>
            <w:tcW w:w="709" w:type="dxa"/>
            <w:tcBorders>
              <w:top w:val="nil"/>
            </w:tcBorders>
          </w:tcPr>
          <w:p w:rsidR="001B21E6" w:rsidRDefault="001B21E6">
            <w:pPr>
              <w:jc w:val="both"/>
              <w:rPr>
                <w:sz w:val="24"/>
                <w:szCs w:val="24"/>
              </w:rPr>
            </w:pPr>
          </w:p>
        </w:tc>
        <w:tc>
          <w:tcPr>
            <w:tcW w:w="4819" w:type="dxa"/>
            <w:vMerge/>
            <w:shd w:val="clear" w:color="auto" w:fill="auto"/>
          </w:tcPr>
          <w:p w:rsidR="001B21E6" w:rsidRDefault="001B21E6">
            <w:pPr>
              <w:widowControl w:val="0"/>
              <w:pBdr>
                <w:top w:val="nil"/>
                <w:left w:val="nil"/>
                <w:bottom w:val="nil"/>
                <w:right w:val="nil"/>
                <w:between w:val="nil"/>
              </w:pBdr>
              <w:spacing w:line="276" w:lineRule="auto"/>
              <w:rPr>
                <w:sz w:val="24"/>
                <w:szCs w:val="24"/>
              </w:rPr>
            </w:pPr>
          </w:p>
        </w:tc>
        <w:tc>
          <w:tcPr>
            <w:tcW w:w="4820" w:type="dxa"/>
            <w:tcBorders>
              <w:top w:val="nil"/>
            </w:tcBorders>
          </w:tcPr>
          <w:p w:rsidR="001B21E6" w:rsidRDefault="001B21E6">
            <w:pPr>
              <w:jc w:val="both"/>
              <w:rPr>
                <w:sz w:val="24"/>
                <w:szCs w:val="24"/>
              </w:rPr>
            </w:pPr>
          </w:p>
        </w:tc>
        <w:tc>
          <w:tcPr>
            <w:tcW w:w="4820" w:type="dxa"/>
            <w:tcBorders>
              <w:top w:val="nil"/>
            </w:tcBorders>
          </w:tcPr>
          <w:p w:rsidR="001B21E6" w:rsidRDefault="001B21E6">
            <w:pPr>
              <w:jc w:val="both"/>
              <w:rPr>
                <w:sz w:val="24"/>
                <w:szCs w:val="24"/>
              </w:rPr>
            </w:pPr>
          </w:p>
        </w:tc>
      </w:tr>
      <w:tr w:rsidR="001B21E6">
        <w:trPr>
          <w:trHeight w:val="60"/>
        </w:trPr>
        <w:tc>
          <w:tcPr>
            <w:tcW w:w="709" w:type="dxa"/>
            <w:tcBorders>
              <w:top w:val="nil"/>
            </w:tcBorders>
          </w:tcPr>
          <w:p w:rsidR="001B21E6" w:rsidRDefault="001B21E6">
            <w:pPr>
              <w:jc w:val="both"/>
              <w:rPr>
                <w:sz w:val="24"/>
                <w:szCs w:val="24"/>
              </w:rPr>
            </w:pPr>
          </w:p>
        </w:tc>
        <w:tc>
          <w:tcPr>
            <w:tcW w:w="4819" w:type="dxa"/>
            <w:tcBorders>
              <w:top w:val="nil"/>
            </w:tcBorders>
            <w:shd w:val="clear" w:color="auto" w:fill="auto"/>
          </w:tcPr>
          <w:p w:rsidR="001B21E6" w:rsidRDefault="001B21E6">
            <w:pPr>
              <w:tabs>
                <w:tab w:val="left" w:pos="567"/>
                <w:tab w:val="left" w:pos="993"/>
                <w:tab w:val="left" w:pos="1560"/>
                <w:tab w:val="left" w:pos="2127"/>
              </w:tabs>
              <w:jc w:val="both"/>
              <w:rPr>
                <w:color w:val="000000"/>
                <w:sz w:val="24"/>
                <w:szCs w:val="24"/>
              </w:rPr>
            </w:pPr>
          </w:p>
          <w:p w:rsidR="001B21E6" w:rsidRDefault="001B21E6">
            <w:pPr>
              <w:tabs>
                <w:tab w:val="left" w:pos="567"/>
                <w:tab w:val="left" w:pos="993"/>
                <w:tab w:val="left" w:pos="1560"/>
                <w:tab w:val="left" w:pos="2127"/>
              </w:tabs>
              <w:jc w:val="both"/>
              <w:rPr>
                <w:color w:val="000000"/>
                <w:sz w:val="24"/>
                <w:szCs w:val="24"/>
              </w:rPr>
            </w:pPr>
          </w:p>
          <w:p w:rsidR="001B21E6" w:rsidRDefault="001B21E6">
            <w:pPr>
              <w:tabs>
                <w:tab w:val="left" w:pos="567"/>
                <w:tab w:val="left" w:pos="993"/>
                <w:tab w:val="left" w:pos="1560"/>
                <w:tab w:val="left" w:pos="2127"/>
              </w:tabs>
              <w:jc w:val="both"/>
              <w:rPr>
                <w:color w:val="000000"/>
                <w:sz w:val="24"/>
                <w:szCs w:val="24"/>
              </w:rPr>
            </w:pPr>
          </w:p>
          <w:p w:rsidR="001B21E6" w:rsidRDefault="001B21E6">
            <w:pPr>
              <w:tabs>
                <w:tab w:val="left" w:pos="567"/>
                <w:tab w:val="left" w:pos="993"/>
                <w:tab w:val="left" w:pos="1560"/>
                <w:tab w:val="left" w:pos="2127"/>
              </w:tabs>
              <w:jc w:val="both"/>
              <w:rPr>
                <w:b/>
                <w:color w:val="000000"/>
                <w:sz w:val="24"/>
                <w:szCs w:val="24"/>
              </w:rPr>
            </w:pPr>
          </w:p>
        </w:tc>
        <w:tc>
          <w:tcPr>
            <w:tcW w:w="4820" w:type="dxa"/>
            <w:tcBorders>
              <w:top w:val="nil"/>
            </w:tcBorders>
          </w:tcPr>
          <w:p w:rsidR="001B21E6" w:rsidRDefault="001B21E6">
            <w:pPr>
              <w:jc w:val="both"/>
              <w:rPr>
                <w:b/>
                <w:sz w:val="24"/>
                <w:szCs w:val="24"/>
              </w:rPr>
            </w:pPr>
          </w:p>
        </w:tc>
        <w:tc>
          <w:tcPr>
            <w:tcW w:w="4820" w:type="dxa"/>
            <w:tcBorders>
              <w:top w:val="nil"/>
            </w:tcBorders>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 xml:space="preserve">(3) Taxa calculată potrivit alin.(2) nu poate diminua cuantumul pensiei din sistemul public stabilită în baza principiului </w:t>
            </w:r>
            <w:proofErr w:type="spellStart"/>
            <w:r>
              <w:rPr>
                <w:color w:val="000000"/>
                <w:sz w:val="24"/>
                <w:szCs w:val="24"/>
              </w:rPr>
              <w:t>contributivității</w:t>
            </w:r>
            <w:proofErr w:type="spellEnd"/>
            <w:r>
              <w:rPr>
                <w:color w:val="000000"/>
                <w:sz w:val="24"/>
                <w:szCs w:val="24"/>
              </w:rPr>
              <w:t>. În cazul în care diferența între venitul lunar taxabil și taxa calculată potrivit alin.(2) se situează sub nivelul</w:t>
            </w:r>
            <w:r>
              <w:rPr>
                <w:color w:val="000000"/>
                <w:sz w:val="24"/>
                <w:szCs w:val="24"/>
              </w:rPr>
              <w:t xml:space="preserve"> cuantumului pensiei din sistemul public stabilită în baza principiului </w:t>
            </w:r>
            <w:proofErr w:type="spellStart"/>
            <w:r>
              <w:rPr>
                <w:color w:val="000000"/>
                <w:sz w:val="24"/>
                <w:szCs w:val="24"/>
              </w:rPr>
              <w:t>contributivității</w:t>
            </w:r>
            <w:proofErr w:type="spellEnd"/>
            <w:r>
              <w:rPr>
                <w:color w:val="000000"/>
                <w:sz w:val="24"/>
                <w:szCs w:val="24"/>
              </w:rPr>
              <w:t>, taxa se calculează în limita acestui nivel.</w:t>
            </w:r>
            <w:r>
              <w:rPr>
                <w:color w:val="000000"/>
                <w:sz w:val="24"/>
                <w:szCs w:val="24"/>
              </w:rPr>
              <w:tab/>
            </w:r>
            <w:r>
              <w:rPr>
                <w:color w:val="000000"/>
                <w:sz w:val="24"/>
                <w:szCs w:val="24"/>
              </w:rPr>
              <w:tab/>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(4) În cazul contribuabililor care realizează lunar venituri cumulate, de la mai mulți plătitori, taxa se recalculează prin aplicarea baremului lunar prevăzut la alin.(2) asupra venitului lunar taxabil, determinat potrivit art.134</w:t>
            </w:r>
            <w:r>
              <w:rPr>
                <w:color w:val="000000"/>
                <w:sz w:val="24"/>
                <w:szCs w:val="24"/>
                <w:highlight w:val="yellow"/>
                <w:vertAlign w:val="superscript"/>
              </w:rPr>
              <w:t>2</w:t>
            </w:r>
            <w:r>
              <w:rPr>
                <w:color w:val="000000"/>
                <w:sz w:val="24"/>
                <w:szCs w:val="24"/>
              </w:rPr>
              <w:t xml:space="preserve"> alin.(2) din care se ded</w:t>
            </w:r>
            <w:r>
              <w:rPr>
                <w:color w:val="000000"/>
                <w:sz w:val="24"/>
                <w:szCs w:val="24"/>
              </w:rPr>
              <w:t xml:space="preserve">uce taxa reținută de către fiecare plătitor de venit, în  limita pensiei din sistemul public stabilită în baza principiului </w:t>
            </w:r>
            <w:proofErr w:type="spellStart"/>
            <w:r>
              <w:rPr>
                <w:color w:val="000000"/>
                <w:sz w:val="24"/>
                <w:szCs w:val="24"/>
              </w:rPr>
              <w:t>contributivității</w:t>
            </w:r>
            <w:proofErr w:type="spellEnd"/>
            <w:r>
              <w:rPr>
                <w:color w:val="000000"/>
                <w:sz w:val="24"/>
                <w:szCs w:val="24"/>
              </w:rPr>
              <w:t>.</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(5) Pentru stabilirea taxei prevăzută la alin.(4), Casa de pensii publică teritorială sau a munici</w:t>
            </w:r>
            <w:r>
              <w:rPr>
                <w:color w:val="000000"/>
                <w:sz w:val="24"/>
                <w:szCs w:val="24"/>
              </w:rPr>
              <w:t>piului București, respectiv casa de pensii sectorială, după caz, pe baza datelor furnizate de către contribuabil prin declarația pe propria răspundere și a documentelor justificative emise de toți plătitorii de venituri, cumulează veniturile din pensii și/</w:t>
            </w:r>
            <w:r>
              <w:rPr>
                <w:color w:val="000000"/>
                <w:sz w:val="24"/>
                <w:szCs w:val="24"/>
              </w:rPr>
              <w:t xml:space="preserve">sau indemnizații pentru limită de vârstă din care deduce impozitul pe venit aferent, datorat, calculat de către fiecare plătitor de venit, verifică încadrarea în plafonul </w:t>
            </w:r>
            <w:r>
              <w:rPr>
                <w:color w:val="000000"/>
                <w:sz w:val="24"/>
                <w:szCs w:val="24"/>
              </w:rPr>
              <w:lastRenderedPageBreak/>
              <w:t>prevăzut la art.134</w:t>
            </w:r>
            <w:r>
              <w:rPr>
                <w:color w:val="000000"/>
                <w:sz w:val="24"/>
                <w:szCs w:val="24"/>
                <w:highlight w:val="yellow"/>
                <w:vertAlign w:val="superscript"/>
              </w:rPr>
              <w:t>1</w:t>
            </w:r>
            <w:r>
              <w:rPr>
                <w:color w:val="000000"/>
                <w:sz w:val="24"/>
                <w:szCs w:val="24"/>
              </w:rPr>
              <w:t xml:space="preserve"> alin.(2), efectuează recalcularea taxei și determină diferența d</w:t>
            </w:r>
            <w:r>
              <w:rPr>
                <w:color w:val="000000"/>
                <w:sz w:val="24"/>
                <w:szCs w:val="24"/>
              </w:rPr>
              <w:t>e taxă de plată rezultată, după caz.</w:t>
            </w:r>
          </w:p>
        </w:tc>
        <w:tc>
          <w:tcPr>
            <w:tcW w:w="4820" w:type="dxa"/>
          </w:tcPr>
          <w:p w:rsidR="001B21E6" w:rsidRDefault="00E550FC">
            <w:pPr>
              <w:jc w:val="both"/>
              <w:rPr>
                <w:sz w:val="24"/>
                <w:szCs w:val="24"/>
              </w:rPr>
            </w:pPr>
            <w:r>
              <w:rPr>
                <w:sz w:val="24"/>
                <w:szCs w:val="24"/>
              </w:rPr>
              <w:lastRenderedPageBreak/>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(6) Taxa se reține la data efectuării plății venitului din pensie și/sau indemnizației pentru limită de vârstă și se plătește până la data de 25 inclusiv a lunii următoare celei pentru care se face plata</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(7) În cazul prevăzut la alin.(4), plătitorul de venit de la alin.(5) reține taxa la data plății venitului din pensie și/sau indemnizației pentru limită de vârstă, din drepturile celei de a doua luni următoare celei pentru care se recalculea</w:t>
            </w:r>
            <w:r>
              <w:rPr>
                <w:color w:val="000000"/>
                <w:sz w:val="24"/>
                <w:szCs w:val="24"/>
              </w:rPr>
              <w:t>ză taxa, iar termenul de plată este până la data de 25 inclusiv a celei de a treia luni următoare celei pentru care se recalculează taxa.</w:t>
            </w:r>
          </w:p>
          <w:p w:rsidR="001B21E6" w:rsidRDefault="001B21E6">
            <w:pPr>
              <w:tabs>
                <w:tab w:val="left" w:pos="567"/>
                <w:tab w:val="left" w:pos="993"/>
                <w:tab w:val="left" w:pos="1560"/>
                <w:tab w:val="left" w:pos="2127"/>
              </w:tabs>
              <w:spacing w:line="276" w:lineRule="auto"/>
              <w:jc w:val="both"/>
              <w:rPr>
                <w:color w:val="000000"/>
                <w:sz w:val="24"/>
                <w:szCs w:val="24"/>
              </w:rPr>
            </w:pP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(8) În cazul veniturilor din pensii și/sau indemnizații pentru limită de vârstă, al diferențelor de ve</w:t>
            </w:r>
            <w:r>
              <w:rPr>
                <w:color w:val="000000"/>
                <w:sz w:val="24"/>
                <w:szCs w:val="24"/>
              </w:rPr>
              <w:t>nituri din pensii și/sau indemnizații pentru limită de vârstă, precum și al sumelor reprezentând actualizarea acestora cu indicele de inflație, stabilite pentru perioade anterioare, în baza unei legi de acordare expresă a acestora sau în baza hotărârilor j</w:t>
            </w:r>
            <w:r>
              <w:rPr>
                <w:color w:val="000000"/>
                <w:sz w:val="24"/>
                <w:szCs w:val="24"/>
              </w:rPr>
              <w:t xml:space="preserve">udecătorești rămase definitive și irevocabile/hotărârilor judecătorești definitive și executorii, taxa se calculează separat față de taxa aferentă drepturilor lunii curente, prin aplicarea baremului lunar prevăzut la alin.(2) asupra </w:t>
            </w:r>
            <w:r>
              <w:rPr>
                <w:color w:val="000000"/>
                <w:sz w:val="24"/>
                <w:szCs w:val="24"/>
              </w:rPr>
              <w:lastRenderedPageBreak/>
              <w:t>venitului taxabil. Baza</w:t>
            </w:r>
            <w:r>
              <w:rPr>
                <w:color w:val="000000"/>
                <w:sz w:val="24"/>
                <w:szCs w:val="24"/>
              </w:rPr>
              <w:t xml:space="preserve"> de calcul reprezentând venitul taxabil se determină prin deducerea impozitului pe venit aferent acesteia, datorat potrivit prevederilor Titlului IV. În acest caz, se aplică regimul de taxare în vigoare la data calculării taxei. Taxa se reține la data efec</w:t>
            </w:r>
            <w:r>
              <w:rPr>
                <w:color w:val="000000"/>
                <w:sz w:val="24"/>
                <w:szCs w:val="24"/>
              </w:rPr>
              <w:t>tuării plății și se plătește până la data de 25 inclusiv a lunii următoare celei în care s-au plătit sumele acordate. În cazul în care plățile se efectuează eșalonat, reținerea taxei se face proporțional la fiecare plată. Termenul de plată este până la dat</w:t>
            </w:r>
            <w:r>
              <w:rPr>
                <w:color w:val="000000"/>
                <w:sz w:val="24"/>
                <w:szCs w:val="24"/>
              </w:rPr>
              <w:t>a de 25 inclusiv a lunii următoare celei în care s-a efectuat plata.</w:t>
            </w:r>
          </w:p>
        </w:tc>
        <w:tc>
          <w:tcPr>
            <w:tcW w:w="4820" w:type="dxa"/>
          </w:tcPr>
          <w:p w:rsidR="001B21E6" w:rsidRDefault="00E550FC">
            <w:pPr>
              <w:jc w:val="both"/>
              <w:rPr>
                <w:sz w:val="24"/>
                <w:szCs w:val="24"/>
              </w:rPr>
            </w:pPr>
            <w:r>
              <w:rPr>
                <w:sz w:val="24"/>
                <w:szCs w:val="24"/>
              </w:rPr>
              <w:lastRenderedPageBreak/>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(9) În cazul drepturilor aferente veniturilor din pensii și/sau indemnizații, stabilite pentru perioade anterioare, în alte situații decât cele prevăzute la alin.(8), acestea se defalcă pe lunile la care se referă, în vederea calculării, reținerii și plăți</w:t>
            </w:r>
            <w:r>
              <w:rPr>
                <w:color w:val="000000"/>
                <w:sz w:val="24"/>
                <w:szCs w:val="24"/>
              </w:rPr>
              <w:t>i taxei datorate, după caz, până la data de 25 inclusiv a lunii următoare celei în care se face plata. În acest caz, se aplică regimul de taxare în vigoare în perioadele cărora le sunt aferente veniturile.</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(10)</w:t>
            </w:r>
            <w:r>
              <w:rPr>
                <w:color w:val="000000"/>
                <w:sz w:val="24"/>
                <w:szCs w:val="24"/>
              </w:rPr>
              <w:tab/>
              <w:t>În cazul pensiilor pentru care</w:t>
            </w:r>
            <w:r>
              <w:rPr>
                <w:color w:val="000000"/>
                <w:sz w:val="24"/>
                <w:szCs w:val="24"/>
              </w:rPr>
              <w:t xml:space="preserve"> determinarea componentei bazate pe principiul </w:t>
            </w:r>
            <w:proofErr w:type="spellStart"/>
            <w:r>
              <w:rPr>
                <w:color w:val="000000"/>
                <w:sz w:val="24"/>
                <w:szCs w:val="24"/>
              </w:rPr>
              <w:t>contributivității</w:t>
            </w:r>
            <w:proofErr w:type="spellEnd"/>
            <w:r>
              <w:rPr>
                <w:color w:val="000000"/>
                <w:sz w:val="24"/>
                <w:szCs w:val="24"/>
              </w:rPr>
              <w:t xml:space="preserve"> se produce ulterior stabilirii și reținerii taxei, iar aceasta generează aplicarea unui alt plafon netaxabil corespunzător  pensiei din sistemul public stabilită în baza principiului </w:t>
            </w:r>
            <w:proofErr w:type="spellStart"/>
            <w:r>
              <w:rPr>
                <w:color w:val="000000"/>
                <w:sz w:val="24"/>
                <w:szCs w:val="24"/>
              </w:rPr>
              <w:t>contribu</w:t>
            </w:r>
            <w:r>
              <w:rPr>
                <w:color w:val="000000"/>
                <w:sz w:val="24"/>
                <w:szCs w:val="24"/>
              </w:rPr>
              <w:t>tivității</w:t>
            </w:r>
            <w:proofErr w:type="spellEnd"/>
            <w:r>
              <w:rPr>
                <w:color w:val="000000"/>
                <w:sz w:val="24"/>
                <w:szCs w:val="24"/>
              </w:rPr>
              <w:t xml:space="preserve">, plătitorii de venituri din pensii </w:t>
            </w:r>
            <w:r>
              <w:rPr>
                <w:color w:val="000000"/>
                <w:sz w:val="24"/>
                <w:szCs w:val="24"/>
              </w:rPr>
              <w:lastRenderedPageBreak/>
              <w:t xml:space="preserve">și/sau indemnizații pentru limită de vârstă recalculează taxa pentru perioadele anterioare. În acest caz, se aplică regimul de taxare în vigoare în perioadele cărora le sunt aferente veniturile. </w:t>
            </w:r>
          </w:p>
        </w:tc>
        <w:tc>
          <w:tcPr>
            <w:tcW w:w="4820" w:type="dxa"/>
          </w:tcPr>
          <w:p w:rsidR="001B21E6" w:rsidRDefault="001B21E6">
            <w:pPr>
              <w:jc w:val="both"/>
              <w:rPr>
                <w:sz w:val="24"/>
                <w:szCs w:val="24"/>
              </w:rPr>
            </w:pP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(11) În caz</w:t>
            </w:r>
            <w:r>
              <w:rPr>
                <w:color w:val="000000"/>
                <w:sz w:val="24"/>
                <w:szCs w:val="24"/>
              </w:rPr>
              <w:t>ul nerespectării de către contribuabil a obligației prevăzute la art.134</w:t>
            </w:r>
            <w:r>
              <w:rPr>
                <w:color w:val="000000"/>
                <w:sz w:val="24"/>
                <w:szCs w:val="24"/>
                <w:vertAlign w:val="superscript"/>
              </w:rPr>
              <w:t>2</w:t>
            </w:r>
            <w:r>
              <w:rPr>
                <w:color w:val="000000"/>
                <w:sz w:val="24"/>
                <w:szCs w:val="24"/>
              </w:rPr>
              <w:t xml:space="preserve"> alin.(6) sunt aplicabile dispozițiile Legii nr.207/2015 privind Codul de procedură fiscală, cu modificările și completările ulterioare.</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color w:val="000000"/>
                <w:sz w:val="24"/>
                <w:szCs w:val="24"/>
              </w:rPr>
            </w:pPr>
            <w:r>
              <w:rPr>
                <w:color w:val="000000"/>
                <w:sz w:val="24"/>
                <w:szCs w:val="24"/>
              </w:rPr>
              <w:t>(12) Prevederile art.132 din Titlul IV se aplică în mod corespunzător și pentru taxa pe veniturile din pensii și/sau indemnizații pentru limită de vârstă.</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vAlign w:val="center"/>
          </w:tcPr>
          <w:p w:rsidR="001B21E6" w:rsidRDefault="00E550FC">
            <w:pPr>
              <w:tabs>
                <w:tab w:val="left" w:pos="567"/>
                <w:tab w:val="left" w:pos="993"/>
                <w:tab w:val="left" w:pos="1560"/>
                <w:tab w:val="left" w:pos="2127"/>
              </w:tabs>
              <w:spacing w:line="276" w:lineRule="auto"/>
              <w:jc w:val="center"/>
              <w:rPr>
                <w:b/>
                <w:color w:val="000000"/>
                <w:sz w:val="24"/>
                <w:szCs w:val="24"/>
              </w:rPr>
            </w:pPr>
            <w:r>
              <w:rPr>
                <w:b/>
                <w:color w:val="000000"/>
                <w:sz w:val="24"/>
                <w:szCs w:val="24"/>
              </w:rPr>
              <w:t>Art.134</w:t>
            </w:r>
            <w:r>
              <w:rPr>
                <w:b/>
                <w:color w:val="000000"/>
                <w:sz w:val="24"/>
                <w:szCs w:val="24"/>
                <w:vertAlign w:val="superscript"/>
              </w:rPr>
              <w:t>4</w:t>
            </w:r>
            <w:r>
              <w:rPr>
                <w:b/>
                <w:color w:val="000000"/>
                <w:sz w:val="24"/>
                <w:szCs w:val="24"/>
              </w:rPr>
              <w:t>.- Perioada de aplicare</w:t>
            </w:r>
          </w:p>
          <w:p w:rsidR="001B21E6" w:rsidRDefault="001B21E6">
            <w:pPr>
              <w:tabs>
                <w:tab w:val="left" w:pos="567"/>
                <w:tab w:val="left" w:pos="993"/>
                <w:tab w:val="left" w:pos="1560"/>
                <w:tab w:val="left" w:pos="2127"/>
              </w:tabs>
              <w:spacing w:line="276" w:lineRule="auto"/>
              <w:jc w:val="center"/>
              <w:rPr>
                <w:b/>
                <w:color w:val="000000"/>
                <w:sz w:val="24"/>
                <w:szCs w:val="24"/>
              </w:rPr>
            </w:pPr>
          </w:p>
          <w:p w:rsidR="001B21E6" w:rsidRDefault="001B21E6">
            <w:pPr>
              <w:tabs>
                <w:tab w:val="left" w:pos="567"/>
                <w:tab w:val="left" w:pos="993"/>
                <w:tab w:val="left" w:pos="1560"/>
                <w:tab w:val="left" w:pos="2127"/>
              </w:tabs>
              <w:spacing w:line="276" w:lineRule="auto"/>
              <w:jc w:val="center"/>
              <w:rPr>
                <w:color w:val="000000"/>
                <w:sz w:val="24"/>
                <w:szCs w:val="24"/>
              </w:rPr>
            </w:pPr>
          </w:p>
          <w:p w:rsidR="001B21E6" w:rsidRDefault="00E550FC">
            <w:pPr>
              <w:tabs>
                <w:tab w:val="left" w:pos="567"/>
                <w:tab w:val="left" w:pos="993"/>
                <w:tab w:val="left" w:pos="1560"/>
                <w:tab w:val="left" w:pos="2127"/>
              </w:tabs>
              <w:spacing w:line="276" w:lineRule="auto"/>
              <w:jc w:val="both"/>
              <w:rPr>
                <w:b/>
                <w:color w:val="000000"/>
                <w:sz w:val="24"/>
                <w:szCs w:val="24"/>
              </w:rPr>
            </w:pPr>
            <w:r>
              <w:rPr>
                <w:color w:val="000000"/>
                <w:sz w:val="24"/>
                <w:szCs w:val="24"/>
              </w:rPr>
              <w:t>Prevederile prezentului titlu</w:t>
            </w:r>
            <w:r>
              <w:rPr>
                <w:b/>
                <w:color w:val="000000"/>
                <w:sz w:val="24"/>
                <w:szCs w:val="24"/>
              </w:rPr>
              <w:t xml:space="preserve"> </w:t>
            </w:r>
            <w:r>
              <w:rPr>
                <w:color w:val="000000"/>
                <w:sz w:val="24"/>
                <w:szCs w:val="24"/>
              </w:rPr>
              <w:t>se aplică până la data de 31 decembrie</w:t>
            </w:r>
            <w:r>
              <w:rPr>
                <w:b/>
                <w:color w:val="000000"/>
                <w:sz w:val="24"/>
                <w:szCs w:val="24"/>
              </w:rPr>
              <w:t xml:space="preserve"> 2025 </w:t>
            </w:r>
            <w:r>
              <w:rPr>
                <w:color w:val="000000"/>
                <w:sz w:val="24"/>
                <w:szCs w:val="24"/>
              </w:rPr>
              <w:t>inclusiv.</w:t>
            </w:r>
            <w:r>
              <w:rPr>
                <w:b/>
                <w:color w:val="000000"/>
                <w:sz w:val="24"/>
                <w:szCs w:val="24"/>
              </w:rPr>
              <w:t>”</w:t>
            </w:r>
          </w:p>
        </w:tc>
        <w:tc>
          <w:tcPr>
            <w:tcW w:w="4820" w:type="dxa"/>
          </w:tcPr>
          <w:p w:rsidR="001B21E6" w:rsidRDefault="00E550FC">
            <w:pPr>
              <w:jc w:val="both"/>
              <w:rPr>
                <w:b/>
                <w:i/>
                <w:sz w:val="24"/>
                <w:szCs w:val="24"/>
              </w:rPr>
            </w:pPr>
            <w:r>
              <w:rPr>
                <w:b/>
                <w:i/>
                <w:sz w:val="24"/>
                <w:szCs w:val="24"/>
              </w:rPr>
              <w:t xml:space="preserve">Se elimina </w:t>
            </w:r>
          </w:p>
        </w:tc>
        <w:tc>
          <w:tcPr>
            <w:tcW w:w="4820" w:type="dxa"/>
          </w:tcPr>
          <w:p w:rsidR="001B21E6" w:rsidRDefault="001B21E6">
            <w:pPr>
              <w:jc w:val="both"/>
              <w:rPr>
                <w:sz w:val="24"/>
                <w:szCs w:val="24"/>
              </w:rPr>
            </w:pPr>
          </w:p>
        </w:tc>
      </w:tr>
      <w:tr w:rsidR="001B21E6">
        <w:trPr>
          <w:trHeight w:val="60"/>
        </w:trPr>
        <w:tc>
          <w:tcPr>
            <w:tcW w:w="709" w:type="dxa"/>
          </w:tcPr>
          <w:p w:rsidR="001B21E6" w:rsidRDefault="001B21E6">
            <w:pPr>
              <w:numPr>
                <w:ilvl w:val="0"/>
                <w:numId w:val="1"/>
              </w:numPr>
              <w:ind w:left="0" w:firstLine="0"/>
              <w:jc w:val="both"/>
            </w:pPr>
          </w:p>
        </w:tc>
        <w:tc>
          <w:tcPr>
            <w:tcW w:w="4819" w:type="dxa"/>
            <w:shd w:val="clear" w:color="auto" w:fill="auto"/>
          </w:tcPr>
          <w:p w:rsidR="001B21E6" w:rsidRDefault="00E550FC">
            <w:pPr>
              <w:tabs>
                <w:tab w:val="left" w:pos="567"/>
                <w:tab w:val="left" w:pos="993"/>
                <w:tab w:val="left" w:pos="1560"/>
                <w:tab w:val="left" w:pos="2127"/>
              </w:tabs>
              <w:spacing w:line="276" w:lineRule="auto"/>
              <w:jc w:val="both"/>
              <w:rPr>
                <w:b/>
                <w:color w:val="000000"/>
                <w:sz w:val="24"/>
                <w:szCs w:val="24"/>
              </w:rPr>
            </w:pPr>
            <w:proofErr w:type="spellStart"/>
            <w:r>
              <w:rPr>
                <w:b/>
                <w:color w:val="000000"/>
                <w:sz w:val="24"/>
                <w:szCs w:val="24"/>
              </w:rPr>
              <w:t>Art.II</w:t>
            </w:r>
            <w:proofErr w:type="spellEnd"/>
            <w:r>
              <w:rPr>
                <w:b/>
                <w:color w:val="000000"/>
                <w:sz w:val="24"/>
                <w:szCs w:val="24"/>
              </w:rPr>
              <w:t>.-</w:t>
            </w:r>
            <w:r>
              <w:rPr>
                <w:b/>
                <w:color w:val="000000"/>
                <w:sz w:val="24"/>
                <w:szCs w:val="24"/>
              </w:rPr>
              <w:tab/>
            </w:r>
            <w:r>
              <w:rPr>
                <w:color w:val="000000"/>
                <w:sz w:val="24"/>
                <w:szCs w:val="24"/>
              </w:rPr>
              <w:t>Prezenta lege intră în vigoare la data de 1 a lunii următoare publicării în Monitorul Oficial al României, Partea I.</w:t>
            </w:r>
          </w:p>
        </w:tc>
        <w:tc>
          <w:tcPr>
            <w:tcW w:w="4820" w:type="dxa"/>
          </w:tcPr>
          <w:p w:rsidR="001B21E6" w:rsidRDefault="00E550FC">
            <w:pPr>
              <w:jc w:val="both"/>
              <w:rPr>
                <w:sz w:val="24"/>
                <w:szCs w:val="24"/>
              </w:rPr>
            </w:pPr>
            <w:r>
              <w:rPr>
                <w:sz w:val="24"/>
                <w:szCs w:val="24"/>
              </w:rPr>
              <w:t>Nemodificat</w:t>
            </w:r>
          </w:p>
        </w:tc>
        <w:tc>
          <w:tcPr>
            <w:tcW w:w="4820" w:type="dxa"/>
          </w:tcPr>
          <w:p w:rsidR="001B21E6" w:rsidRDefault="001B21E6">
            <w:pPr>
              <w:jc w:val="both"/>
              <w:rPr>
                <w:sz w:val="24"/>
                <w:szCs w:val="24"/>
              </w:rPr>
            </w:pPr>
          </w:p>
        </w:tc>
      </w:tr>
    </w:tbl>
    <w:p w:rsidR="001B21E6" w:rsidRDefault="001B21E6">
      <w:pPr>
        <w:jc w:val="both"/>
      </w:pPr>
    </w:p>
    <w:sectPr w:rsidR="001B21E6">
      <w:footerReference w:type="default" r:id="rId7"/>
      <w:pgSz w:w="16834" w:h="11909"/>
      <w:pgMar w:top="851" w:right="851" w:bottom="567" w:left="85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550FC" w:rsidRDefault="00E550FC">
      <w:r>
        <w:separator/>
      </w:r>
    </w:p>
  </w:endnote>
  <w:endnote w:type="continuationSeparator" w:id="0">
    <w:p w:rsidR="00E550FC" w:rsidRDefault="00E55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ZapfDingbat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panose1 w:val="020B06040202020202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EUAlbertina">
    <w:panose1 w:val="020B0604020202020204"/>
    <w:charset w:val="00"/>
    <w:family w:val="roman"/>
    <w:notTrueType/>
    <w:pitch w:val="default"/>
  </w:font>
  <w:font w:name="Georgia">
    <w:altName w:val="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B21E6" w:rsidRDefault="00E550FC">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sidR="00D07734">
      <w:rPr>
        <w:color w:val="000000"/>
      </w:rPr>
      <w:fldChar w:fldCharType="separate"/>
    </w:r>
    <w:r w:rsidR="00D07734">
      <w:rPr>
        <w:noProof/>
        <w:color w:val="000000"/>
      </w:rPr>
      <w:t>1</w:t>
    </w:r>
    <w:r>
      <w:rPr>
        <w:color w:val="000000"/>
      </w:rPr>
      <w:fldChar w:fldCharType="end"/>
    </w:r>
  </w:p>
  <w:p w:rsidR="001B21E6" w:rsidRDefault="001B21E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550FC" w:rsidRDefault="00E550FC">
      <w:r>
        <w:separator/>
      </w:r>
    </w:p>
  </w:footnote>
  <w:footnote w:type="continuationSeparator" w:id="0">
    <w:p w:rsidR="00E550FC" w:rsidRDefault="00E550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CC58C8"/>
    <w:multiLevelType w:val="multilevel"/>
    <w:tmpl w:val="6A5A9E08"/>
    <w:lvl w:ilvl="0">
      <w:start w:val="1"/>
      <w:numFmt w:val="decimal"/>
      <w:lvlText w:val="%1."/>
      <w:lvlJc w:val="left"/>
      <w:pPr>
        <w:ind w:left="928" w:hanging="360"/>
      </w:pPr>
      <w:rPr>
        <w:b w:val="0"/>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1E6"/>
    <w:rsid w:val="001B21E6"/>
    <w:rsid w:val="00D07734"/>
    <w:rsid w:val="00E550FC"/>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5:docId w15:val="{6BE29A4E-4A84-E743-B84C-0F8BC14D1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8"/>
        <w:szCs w:val="28"/>
        <w:lang w:val="ro-RO"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08F"/>
  </w:style>
  <w:style w:type="paragraph" w:styleId="Heading1">
    <w:name w:val="heading 1"/>
    <w:basedOn w:val="Normal"/>
    <w:next w:val="Normal"/>
    <w:link w:val="Heading1Char"/>
    <w:uiPriority w:val="9"/>
    <w:qFormat/>
    <w:rsid w:val="003350C8"/>
    <w:pPr>
      <w:keepNext/>
      <w:jc w:val="center"/>
      <w:outlineLvl w:val="0"/>
    </w:pPr>
    <w:rPr>
      <w:rFonts w:ascii="ZapfDingbats" w:eastAsia="ZapfDingbats" w:hAnsi="ZapfDingbats"/>
      <w:sz w:val="36"/>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F8608F"/>
    <w:pPr>
      <w:jc w:val="center"/>
    </w:pPr>
    <w:rPr>
      <w:rFonts w:ascii="ZapfDingbats" w:eastAsia="ZapfDingbats" w:hAnsi="ZapfDingbats"/>
      <w:b/>
      <w:sz w:val="60"/>
    </w:rPr>
  </w:style>
  <w:style w:type="character" w:customStyle="1" w:styleId="TitleChar">
    <w:name w:val="Title Char"/>
    <w:basedOn w:val="DefaultParagraphFont"/>
    <w:link w:val="Title"/>
    <w:rsid w:val="00F8608F"/>
    <w:rPr>
      <w:rFonts w:ascii="ZapfDingbats" w:eastAsia="ZapfDingbats" w:hAnsi="ZapfDingbats" w:cs="Times New Roman"/>
      <w:b/>
      <w:sz w:val="60"/>
      <w:szCs w:val="20"/>
    </w:rPr>
  </w:style>
  <w:style w:type="paragraph" w:styleId="BodyTextIndent2">
    <w:name w:val="Body Text Indent 2"/>
    <w:basedOn w:val="Normal"/>
    <w:link w:val="BodyTextIndent2Char"/>
    <w:rsid w:val="00F8608F"/>
    <w:pPr>
      <w:spacing w:line="360" w:lineRule="auto"/>
      <w:ind w:firstLine="720"/>
      <w:jc w:val="both"/>
    </w:pPr>
    <w:rPr>
      <w:sz w:val="24"/>
    </w:rPr>
  </w:style>
  <w:style w:type="character" w:customStyle="1" w:styleId="BodyTextIndent2Char">
    <w:name w:val="Body Text Indent 2 Char"/>
    <w:basedOn w:val="DefaultParagraphFont"/>
    <w:link w:val="BodyTextIndent2"/>
    <w:rsid w:val="00F8608F"/>
    <w:rPr>
      <w:rFonts w:eastAsia="Times New Roman" w:cs="Times New Roman"/>
      <w:sz w:val="24"/>
      <w:szCs w:val="20"/>
    </w:rPr>
  </w:style>
  <w:style w:type="paragraph" w:styleId="Footer">
    <w:name w:val="footer"/>
    <w:basedOn w:val="Normal"/>
    <w:link w:val="FooterChar"/>
    <w:uiPriority w:val="99"/>
    <w:unhideWhenUsed/>
    <w:rsid w:val="00F8608F"/>
    <w:pPr>
      <w:tabs>
        <w:tab w:val="center" w:pos="4513"/>
        <w:tab w:val="right" w:pos="9026"/>
      </w:tabs>
    </w:pPr>
  </w:style>
  <w:style w:type="character" w:customStyle="1" w:styleId="FooterChar">
    <w:name w:val="Footer Char"/>
    <w:basedOn w:val="DefaultParagraphFont"/>
    <w:link w:val="Footer"/>
    <w:uiPriority w:val="99"/>
    <w:rsid w:val="00F8608F"/>
    <w:rPr>
      <w:rFonts w:eastAsia="Times New Roman" w:cs="Times New Roman"/>
      <w:szCs w:val="20"/>
    </w:rPr>
  </w:style>
  <w:style w:type="character" w:customStyle="1" w:styleId="Bodytext">
    <w:name w:val="Body text_"/>
    <w:basedOn w:val="DefaultParagraphFont"/>
    <w:link w:val="BodyText1"/>
    <w:uiPriority w:val="99"/>
    <w:rsid w:val="00F8608F"/>
    <w:rPr>
      <w:sz w:val="29"/>
      <w:szCs w:val="29"/>
      <w:shd w:val="clear" w:color="auto" w:fill="FFFFFF"/>
    </w:rPr>
  </w:style>
  <w:style w:type="paragraph" w:customStyle="1" w:styleId="BodyText1">
    <w:name w:val="Body Text1"/>
    <w:basedOn w:val="Normal"/>
    <w:link w:val="Bodytext"/>
    <w:uiPriority w:val="99"/>
    <w:rsid w:val="00F8608F"/>
    <w:pPr>
      <w:widowControl w:val="0"/>
      <w:shd w:val="clear" w:color="auto" w:fill="FFFFFF"/>
      <w:spacing w:before="420" w:after="960" w:line="349" w:lineRule="exact"/>
      <w:jc w:val="both"/>
    </w:pPr>
    <w:rPr>
      <w:rFonts w:eastAsia="Calibri"/>
      <w:sz w:val="29"/>
      <w:szCs w:val="29"/>
    </w:rPr>
  </w:style>
  <w:style w:type="paragraph" w:styleId="BalloonText">
    <w:name w:val="Balloon Text"/>
    <w:basedOn w:val="Normal"/>
    <w:link w:val="BalloonTextChar"/>
    <w:unhideWhenUsed/>
    <w:rsid w:val="00F8608F"/>
    <w:rPr>
      <w:rFonts w:ascii="Tahoma" w:hAnsi="Tahoma" w:cs="Tahoma"/>
      <w:sz w:val="16"/>
      <w:szCs w:val="16"/>
    </w:rPr>
  </w:style>
  <w:style w:type="character" w:customStyle="1" w:styleId="BalloonTextChar">
    <w:name w:val="Balloon Text Char"/>
    <w:basedOn w:val="DefaultParagraphFont"/>
    <w:link w:val="BalloonText"/>
    <w:rsid w:val="00F8608F"/>
    <w:rPr>
      <w:rFonts w:ascii="Tahoma" w:eastAsia="Times New Roman" w:hAnsi="Tahoma" w:cs="Tahoma"/>
      <w:sz w:val="16"/>
      <w:szCs w:val="16"/>
    </w:rPr>
  </w:style>
  <w:style w:type="paragraph" w:styleId="Header">
    <w:name w:val="header"/>
    <w:basedOn w:val="Normal"/>
    <w:link w:val="HeaderChar"/>
    <w:unhideWhenUsed/>
    <w:rsid w:val="00BD0726"/>
    <w:pPr>
      <w:tabs>
        <w:tab w:val="center" w:pos="4680"/>
        <w:tab w:val="right" w:pos="9360"/>
      </w:tabs>
    </w:pPr>
  </w:style>
  <w:style w:type="character" w:customStyle="1" w:styleId="HeaderChar">
    <w:name w:val="Header Char"/>
    <w:basedOn w:val="DefaultParagraphFont"/>
    <w:link w:val="Header"/>
    <w:rsid w:val="00BD0726"/>
    <w:rPr>
      <w:rFonts w:eastAsia="Times New Roman"/>
      <w:sz w:val="28"/>
      <w:lang w:val="ro-RO"/>
    </w:rPr>
  </w:style>
  <w:style w:type="character" w:customStyle="1" w:styleId="Heading1Char">
    <w:name w:val="Heading 1 Char"/>
    <w:basedOn w:val="DefaultParagraphFont"/>
    <w:link w:val="Heading1"/>
    <w:rsid w:val="003350C8"/>
    <w:rPr>
      <w:rFonts w:ascii="ZapfDingbats" w:eastAsia="ZapfDingbats" w:hAnsi="ZapfDingbats"/>
      <w:sz w:val="36"/>
      <w:lang w:val="ro-RO"/>
    </w:rPr>
  </w:style>
  <w:style w:type="character" w:styleId="PageNumber">
    <w:name w:val="page number"/>
    <w:basedOn w:val="DefaultParagraphFont"/>
    <w:rsid w:val="003350C8"/>
  </w:style>
  <w:style w:type="character" w:customStyle="1" w:styleId="Heading20">
    <w:name w:val="Heading #2_"/>
    <w:basedOn w:val="DefaultParagraphFont"/>
    <w:link w:val="Heading21"/>
    <w:rsid w:val="003350C8"/>
    <w:rPr>
      <w:sz w:val="22"/>
      <w:szCs w:val="22"/>
      <w:shd w:val="clear" w:color="auto" w:fill="FFFFFF"/>
    </w:rPr>
  </w:style>
  <w:style w:type="paragraph" w:customStyle="1" w:styleId="Heading21">
    <w:name w:val="Heading #2"/>
    <w:basedOn w:val="Normal"/>
    <w:link w:val="Heading20"/>
    <w:rsid w:val="003350C8"/>
    <w:pPr>
      <w:shd w:val="clear" w:color="auto" w:fill="FFFFFF"/>
      <w:spacing w:before="240" w:after="120" w:line="0" w:lineRule="atLeast"/>
      <w:ind w:firstLine="680"/>
      <w:jc w:val="both"/>
      <w:outlineLvl w:val="1"/>
    </w:pPr>
    <w:rPr>
      <w:rFonts w:eastAsia="Calibri"/>
      <w:sz w:val="22"/>
      <w:szCs w:val="22"/>
      <w:lang w:val="en-US"/>
    </w:rPr>
  </w:style>
  <w:style w:type="character" w:customStyle="1" w:styleId="Bodytext2">
    <w:name w:val="Body text (2)_"/>
    <w:basedOn w:val="DefaultParagraphFont"/>
    <w:link w:val="Bodytext20"/>
    <w:uiPriority w:val="99"/>
    <w:rsid w:val="003350C8"/>
    <w:rPr>
      <w:sz w:val="24"/>
      <w:szCs w:val="24"/>
      <w:shd w:val="clear" w:color="auto" w:fill="FFFFFF"/>
    </w:rPr>
  </w:style>
  <w:style w:type="paragraph" w:customStyle="1" w:styleId="Bodytext20">
    <w:name w:val="Body text (2)"/>
    <w:basedOn w:val="Normal"/>
    <w:link w:val="Bodytext2"/>
    <w:uiPriority w:val="99"/>
    <w:rsid w:val="003350C8"/>
    <w:pPr>
      <w:shd w:val="clear" w:color="auto" w:fill="FFFFFF"/>
      <w:spacing w:before="840" w:line="317" w:lineRule="exact"/>
      <w:ind w:firstLine="580"/>
      <w:jc w:val="both"/>
    </w:pPr>
    <w:rPr>
      <w:rFonts w:eastAsia="Calibri"/>
      <w:sz w:val="24"/>
      <w:szCs w:val="24"/>
      <w:lang w:val="en-US"/>
    </w:rPr>
  </w:style>
  <w:style w:type="character" w:customStyle="1" w:styleId="BodytextBold">
    <w:name w:val="Body text + Bold"/>
    <w:basedOn w:val="DefaultParagraphFont"/>
    <w:uiPriority w:val="99"/>
    <w:rsid w:val="003350C8"/>
    <w:rPr>
      <w:rFonts w:ascii="Times New Roman" w:eastAsia="Times New Roman" w:hAnsi="Times New Roman" w:cs="Times New Roman"/>
      <w:b/>
      <w:bCs/>
      <w:i w:val="0"/>
      <w:iCs w:val="0"/>
      <w:smallCaps w:val="0"/>
      <w:strike w:val="0"/>
      <w:spacing w:val="0"/>
      <w:sz w:val="27"/>
      <w:szCs w:val="27"/>
    </w:rPr>
  </w:style>
  <w:style w:type="character" w:customStyle="1" w:styleId="FontStyle11">
    <w:name w:val="Font Style11"/>
    <w:basedOn w:val="DefaultParagraphFont"/>
    <w:uiPriority w:val="99"/>
    <w:rsid w:val="003350C8"/>
    <w:rPr>
      <w:rFonts w:ascii="Times New Roman" w:hAnsi="Times New Roman" w:cs="Times New Roman"/>
      <w:b/>
      <w:bCs/>
      <w:sz w:val="26"/>
      <w:szCs w:val="26"/>
    </w:rPr>
  </w:style>
  <w:style w:type="paragraph" w:styleId="ListParagraph">
    <w:name w:val="List Paragraph"/>
    <w:basedOn w:val="Normal"/>
    <w:link w:val="ListParagraphChar"/>
    <w:qFormat/>
    <w:rsid w:val="003350C8"/>
    <w:pPr>
      <w:ind w:left="720"/>
    </w:pPr>
    <w:rPr>
      <w:sz w:val="24"/>
      <w:szCs w:val="24"/>
      <w:lang w:val="en-US"/>
    </w:rPr>
  </w:style>
  <w:style w:type="paragraph" w:customStyle="1" w:styleId="BodyText10">
    <w:name w:val="Body Text1"/>
    <w:basedOn w:val="Normal"/>
    <w:uiPriority w:val="99"/>
    <w:rsid w:val="003350C8"/>
    <w:pPr>
      <w:shd w:val="clear" w:color="auto" w:fill="FFFFFF"/>
      <w:spacing w:before="480" w:after="360" w:line="371" w:lineRule="exact"/>
      <w:ind w:firstLine="580"/>
      <w:jc w:val="both"/>
    </w:pPr>
    <w:rPr>
      <w:sz w:val="27"/>
      <w:szCs w:val="27"/>
      <w:lang w:eastAsia="ro-RO"/>
    </w:rPr>
  </w:style>
  <w:style w:type="character" w:styleId="Hyperlink">
    <w:name w:val="Hyperlink"/>
    <w:basedOn w:val="DefaultParagraphFont"/>
    <w:unhideWhenUsed/>
    <w:rsid w:val="003350C8"/>
    <w:rPr>
      <w:b/>
      <w:bCs/>
      <w:color w:val="333399"/>
      <w:u w:val="single"/>
    </w:rPr>
  </w:style>
  <w:style w:type="character" w:customStyle="1" w:styleId="do1">
    <w:name w:val="do1"/>
    <w:basedOn w:val="DefaultParagraphFont"/>
    <w:rsid w:val="003350C8"/>
    <w:rPr>
      <w:b/>
      <w:bCs/>
      <w:sz w:val="26"/>
      <w:szCs w:val="26"/>
    </w:rPr>
  </w:style>
  <w:style w:type="character" w:customStyle="1" w:styleId="tal">
    <w:name w:val="tal"/>
    <w:basedOn w:val="DefaultParagraphFont"/>
    <w:rsid w:val="00F46981"/>
  </w:style>
  <w:style w:type="character" w:customStyle="1" w:styleId="al">
    <w:name w:val="al"/>
    <w:basedOn w:val="DefaultParagraphFont"/>
    <w:rsid w:val="00F46981"/>
  </w:style>
  <w:style w:type="character" w:customStyle="1" w:styleId="apple-converted-space">
    <w:name w:val="apple-converted-space"/>
    <w:basedOn w:val="DefaultParagraphFont"/>
    <w:rsid w:val="00F46981"/>
  </w:style>
  <w:style w:type="character" w:customStyle="1" w:styleId="li">
    <w:name w:val="li"/>
    <w:basedOn w:val="DefaultParagraphFont"/>
    <w:rsid w:val="00F46981"/>
  </w:style>
  <w:style w:type="character" w:customStyle="1" w:styleId="tli">
    <w:name w:val="tli"/>
    <w:basedOn w:val="DefaultParagraphFont"/>
    <w:rsid w:val="00F46981"/>
  </w:style>
  <w:style w:type="paragraph" w:customStyle="1" w:styleId="ColorfulList-Accent11">
    <w:name w:val="Colorful List - Accent 11"/>
    <w:basedOn w:val="Normal"/>
    <w:qFormat/>
    <w:rsid w:val="00F46981"/>
    <w:pPr>
      <w:ind w:left="720"/>
    </w:pPr>
    <w:rPr>
      <w:rFonts w:ascii="Calibri" w:eastAsia="Calibri" w:hAnsi="Calibri" w:cs="Calibri"/>
      <w:sz w:val="22"/>
      <w:szCs w:val="22"/>
    </w:rPr>
  </w:style>
  <w:style w:type="paragraph" w:customStyle="1" w:styleId="stilparagraf">
    <w:name w:val="stilparagraf"/>
    <w:basedOn w:val="Normal"/>
    <w:rsid w:val="00F46981"/>
    <w:pPr>
      <w:spacing w:before="100" w:beforeAutospacing="1" w:after="100" w:afterAutospacing="1"/>
    </w:pPr>
    <w:rPr>
      <w:sz w:val="24"/>
      <w:szCs w:val="24"/>
      <w:lang w:val="en-US"/>
    </w:rPr>
  </w:style>
  <w:style w:type="character" w:customStyle="1" w:styleId="ar">
    <w:name w:val="ar"/>
    <w:basedOn w:val="DefaultParagraphFont"/>
    <w:rsid w:val="00F46981"/>
  </w:style>
  <w:style w:type="character" w:customStyle="1" w:styleId="tar">
    <w:name w:val="tar"/>
    <w:basedOn w:val="DefaultParagraphFont"/>
    <w:rsid w:val="00F46981"/>
  </w:style>
  <w:style w:type="paragraph" w:customStyle="1" w:styleId="TableContents">
    <w:name w:val="Table Contents"/>
    <w:basedOn w:val="Normal"/>
    <w:rsid w:val="00F46981"/>
    <w:pPr>
      <w:widowControl w:val="0"/>
      <w:suppressLineNumbers/>
      <w:suppressAutoHyphens/>
    </w:pPr>
    <w:rPr>
      <w:rFonts w:ascii="Liberation Serif" w:eastAsia="SimSun" w:hAnsi="Liberation Serif" w:cs="Mangal"/>
      <w:kern w:val="1"/>
      <w:sz w:val="24"/>
      <w:szCs w:val="24"/>
      <w:lang w:eastAsia="zh-CN" w:bidi="hi-IN"/>
    </w:rPr>
  </w:style>
  <w:style w:type="character" w:customStyle="1" w:styleId="tpa">
    <w:name w:val="tpa"/>
    <w:basedOn w:val="DefaultParagraphFont"/>
    <w:rsid w:val="00F46981"/>
  </w:style>
  <w:style w:type="paragraph" w:customStyle="1" w:styleId="CM4">
    <w:name w:val="CM4"/>
    <w:basedOn w:val="Normal"/>
    <w:next w:val="Normal"/>
    <w:uiPriority w:val="99"/>
    <w:rsid w:val="00F46981"/>
    <w:pPr>
      <w:autoSpaceDE w:val="0"/>
      <w:autoSpaceDN w:val="0"/>
      <w:adjustRightInd w:val="0"/>
    </w:pPr>
    <w:rPr>
      <w:rFonts w:ascii="EUAlbertina" w:hAnsi="EUAlbertina" w:cs="EUAlbertina"/>
      <w:sz w:val="24"/>
      <w:szCs w:val="24"/>
      <w:lang w:val="en-US"/>
    </w:rPr>
  </w:style>
  <w:style w:type="character" w:customStyle="1" w:styleId="rvts8">
    <w:name w:val="rvts8"/>
    <w:basedOn w:val="DefaultParagraphFont"/>
    <w:rsid w:val="00F46981"/>
  </w:style>
  <w:style w:type="paragraph" w:styleId="CommentText">
    <w:name w:val="annotation text"/>
    <w:basedOn w:val="Normal"/>
    <w:link w:val="CommentTextChar"/>
    <w:uiPriority w:val="99"/>
    <w:rsid w:val="00F46981"/>
    <w:rPr>
      <w:sz w:val="20"/>
    </w:rPr>
  </w:style>
  <w:style w:type="character" w:customStyle="1" w:styleId="CommentTextChar">
    <w:name w:val="Comment Text Char"/>
    <w:basedOn w:val="DefaultParagraphFont"/>
    <w:link w:val="CommentText"/>
    <w:uiPriority w:val="99"/>
    <w:rsid w:val="00F46981"/>
    <w:rPr>
      <w:rFonts w:eastAsia="Times New Roman"/>
      <w:lang w:val="ro-RO"/>
    </w:rPr>
  </w:style>
  <w:style w:type="character" w:customStyle="1" w:styleId="ln2talineat">
    <w:name w:val="ln2talineat"/>
    <w:basedOn w:val="DefaultParagraphFont"/>
    <w:rsid w:val="00F46981"/>
  </w:style>
  <w:style w:type="character" w:customStyle="1" w:styleId="spar">
    <w:name w:val="s_par"/>
    <w:basedOn w:val="DefaultParagraphFont"/>
    <w:rsid w:val="00F46981"/>
    <w:rPr>
      <w:rFonts w:cs="Times New Roman"/>
    </w:rPr>
  </w:style>
  <w:style w:type="character" w:customStyle="1" w:styleId="sartttl">
    <w:name w:val="s_art_ttl"/>
    <w:basedOn w:val="DefaultParagraphFont"/>
    <w:rsid w:val="00F46981"/>
    <w:rPr>
      <w:rFonts w:cs="Times New Roman"/>
    </w:rPr>
  </w:style>
  <w:style w:type="paragraph" w:customStyle="1" w:styleId="Normal1">
    <w:name w:val="Normal1"/>
    <w:basedOn w:val="Normal"/>
    <w:rsid w:val="00F46981"/>
    <w:pPr>
      <w:spacing w:before="100" w:beforeAutospacing="1" w:after="100" w:afterAutospacing="1"/>
    </w:pPr>
    <w:rPr>
      <w:sz w:val="24"/>
      <w:szCs w:val="24"/>
      <w:lang w:val="en-US"/>
    </w:rPr>
  </w:style>
  <w:style w:type="table" w:styleId="TableGrid">
    <w:name w:val="Table Grid"/>
    <w:basedOn w:val="TableNormal"/>
    <w:uiPriority w:val="59"/>
    <w:rsid w:val="00E70D6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locked/>
    <w:rsid w:val="00FB03E5"/>
    <w:rPr>
      <w:rFonts w:eastAsia="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Pr>
  </w:style>
  <w:style w:type="table" w:customStyle="1" w:styleId="a1">
    <w:basedOn w:val="TableNormal"/>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2117</Words>
  <Characters>12072</Characters>
  <Application>Microsoft Office Word</Application>
  <DocSecurity>0</DocSecurity>
  <Lines>100</Lines>
  <Paragraphs>28</Paragraphs>
  <ScaleCrop>false</ScaleCrop>
  <Company/>
  <LinksUpToDate>false</LinksUpToDate>
  <CharactersWithSpaces>14161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vasilica.popa</dc:creator>
  <cp:lastModifiedBy>Radu Soviani</cp:lastModifiedBy>
  <cp:revision>2</cp:revision>
  <dcterms:created xsi:type="dcterms:W3CDTF">2020-12-15T12:59:00Z</dcterms:created>
  <dcterms:modified xsi:type="dcterms:W3CDTF">2020-12-15T12:59:00Z</dcterms:modified>
</cp:coreProperties>
</file>